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295AE9" w14:paraId="3F7A6609" w14:textId="77777777" w:rsidTr="00361C28">
        <w:tc>
          <w:tcPr>
            <w:tcW w:w="4675" w:type="dxa"/>
          </w:tcPr>
          <w:p w14:paraId="3D74DDE0" w14:textId="77777777" w:rsidR="00295AE9" w:rsidRDefault="00295AE9">
            <w:pPr>
              <w:rPr>
                <w:b/>
                <w:bCs/>
              </w:rPr>
            </w:pPr>
            <w:r>
              <w:rPr>
                <w:b/>
                <w:bCs/>
              </w:rPr>
              <w:t xml:space="preserve">Effective Date:  </w:t>
            </w:r>
          </w:p>
          <w:p w14:paraId="46B0251E" w14:textId="6493D6A3" w:rsidR="00295AE9" w:rsidRPr="00295AE9" w:rsidRDefault="004E5F1F">
            <w:r>
              <w:t>November 1, 2025</w:t>
            </w:r>
          </w:p>
        </w:tc>
        <w:tc>
          <w:tcPr>
            <w:tcW w:w="4675" w:type="dxa"/>
          </w:tcPr>
          <w:p w14:paraId="13F174DC" w14:textId="77777777" w:rsidR="00295AE9" w:rsidRDefault="00295AE9">
            <w:r>
              <w:rPr>
                <w:b/>
                <w:bCs/>
              </w:rPr>
              <w:t>Scope:</w:t>
            </w:r>
            <w:r>
              <w:t xml:space="preserve">  </w:t>
            </w:r>
          </w:p>
          <w:p w14:paraId="3910402A" w14:textId="3C4B75F5" w:rsidR="00295AE9" w:rsidRPr="00295AE9" w:rsidRDefault="00295AE9">
            <w:r>
              <w:t xml:space="preserve">This policy applies to </w:t>
            </w:r>
            <w:r w:rsidR="004E5F1F">
              <w:t xml:space="preserve">all current and future applicants who claim </w:t>
            </w:r>
            <w:commentRangeStart w:id="0"/>
            <w:r w:rsidR="004E5F1F">
              <w:t>military</w:t>
            </w:r>
            <w:commentRangeEnd w:id="0"/>
            <w:r w:rsidR="00DA4827">
              <w:rPr>
                <w:rStyle w:val="CommentReference"/>
              </w:rPr>
              <w:commentReference w:id="0"/>
            </w:r>
            <w:r w:rsidR="004E5F1F">
              <w:t xml:space="preserve"> or military s</w:t>
            </w:r>
            <w:r w:rsidR="00EE3220">
              <w:t>p</w:t>
            </w:r>
            <w:r w:rsidR="004E5F1F">
              <w:t xml:space="preserve">ouse status under the OT Compact. </w:t>
            </w:r>
          </w:p>
        </w:tc>
      </w:tr>
      <w:tr w:rsidR="00295AE9" w14:paraId="4AC2431E" w14:textId="77777777" w:rsidTr="004E5F1F">
        <w:trPr>
          <w:trHeight w:val="1421"/>
        </w:trPr>
        <w:tc>
          <w:tcPr>
            <w:tcW w:w="9350" w:type="dxa"/>
            <w:gridSpan w:val="2"/>
          </w:tcPr>
          <w:p w14:paraId="643E72AD" w14:textId="1C7851F3" w:rsidR="00295AE9" w:rsidRPr="004E5F1F" w:rsidRDefault="00295AE9" w:rsidP="004E5F1F">
            <w:r>
              <w:rPr>
                <w:b/>
                <w:bCs/>
              </w:rPr>
              <w:t>Purpose:</w:t>
            </w:r>
            <w:r>
              <w:rPr>
                <w:b/>
                <w:bCs/>
              </w:rPr>
              <w:br/>
            </w:r>
            <w:r w:rsidR="004E5F1F">
              <w:t>This policy establishes the requirement for submission of valid military identification when an occupational therapist (OT) or occupational therapy assistant (OTA) applying under the Occupational Therapy Compact (OTC) is identified as a military member or military spouse and is subject to an audit.</w:t>
            </w:r>
          </w:p>
        </w:tc>
      </w:tr>
      <w:tr w:rsidR="00295AE9" w14:paraId="1703D329" w14:textId="77777777" w:rsidTr="004E5F1F">
        <w:trPr>
          <w:trHeight w:val="1151"/>
        </w:trPr>
        <w:tc>
          <w:tcPr>
            <w:tcW w:w="9350" w:type="dxa"/>
            <w:gridSpan w:val="2"/>
          </w:tcPr>
          <w:p w14:paraId="0E66C0EC" w14:textId="703E5FE7" w:rsidR="00295AE9" w:rsidRPr="004E5F1F" w:rsidRDefault="00295AE9" w:rsidP="004E5F1F">
            <w:r>
              <w:rPr>
                <w:b/>
                <w:bCs/>
              </w:rPr>
              <w:t>Policy</w:t>
            </w:r>
            <w:r w:rsidR="003D0E4E">
              <w:rPr>
                <w:b/>
                <w:bCs/>
              </w:rPr>
              <w:t xml:space="preserve"> Statement</w:t>
            </w:r>
            <w:r>
              <w:rPr>
                <w:b/>
                <w:bCs/>
              </w:rPr>
              <w:t>:</w:t>
            </w:r>
            <w:r>
              <w:rPr>
                <w:b/>
                <w:bCs/>
              </w:rPr>
              <w:br/>
            </w:r>
            <w:r w:rsidR="004E5F1F">
              <w:t>In accordance with the OTC Commission’s rules and procedures, applicants who claim military or military spouse status for the purpose of seeking privileges to practice through the OT Compact must provide verification of that status upon request.</w:t>
            </w:r>
          </w:p>
        </w:tc>
      </w:tr>
      <w:tr w:rsidR="00EB0A29" w14:paraId="71B4B560" w14:textId="77777777" w:rsidTr="00151CA2">
        <w:tc>
          <w:tcPr>
            <w:tcW w:w="4675" w:type="dxa"/>
          </w:tcPr>
          <w:p w14:paraId="735393CE" w14:textId="273F2EFA" w:rsidR="00EB0A29" w:rsidRDefault="004E5F1F">
            <w:pPr>
              <w:rPr>
                <w:b/>
                <w:bCs/>
              </w:rPr>
            </w:pPr>
            <w:r>
              <w:rPr>
                <w:b/>
                <w:bCs/>
              </w:rPr>
              <w:t>Confidentiality</w:t>
            </w:r>
            <w:r w:rsidR="00EB0A29">
              <w:rPr>
                <w:b/>
                <w:bCs/>
              </w:rPr>
              <w:t>:</w:t>
            </w:r>
          </w:p>
          <w:p w14:paraId="3E519BAC" w14:textId="594DF171" w:rsidR="00EB0A29" w:rsidRPr="00EB0A29" w:rsidRDefault="004E5F1F" w:rsidP="004E5F1F">
            <w:r>
              <w:t>All military identification documentation uploaded to CompactConnect will be maintained in accordance with applicable data privacy and security policies. Access will be restricted to authorized Commission staff for the sole purpose of verifying eligibility.</w:t>
            </w:r>
          </w:p>
        </w:tc>
        <w:tc>
          <w:tcPr>
            <w:tcW w:w="4675" w:type="dxa"/>
          </w:tcPr>
          <w:p w14:paraId="257BB45E" w14:textId="77777777" w:rsidR="00EB0A29" w:rsidRDefault="00EB0A29">
            <w:r>
              <w:rPr>
                <w:b/>
                <w:bCs/>
              </w:rPr>
              <w:t>Documentation Requirements:</w:t>
            </w:r>
          </w:p>
          <w:p w14:paraId="2A8F524B" w14:textId="77777777" w:rsidR="004E5F1F" w:rsidRPr="004E5F1F" w:rsidRDefault="004E5F1F" w:rsidP="004E5F1F">
            <w:pPr>
              <w:pStyle w:val="ListParagraph"/>
              <w:numPr>
                <w:ilvl w:val="0"/>
                <w:numId w:val="4"/>
              </w:numPr>
              <w:rPr>
                <w:sz w:val="22"/>
                <w:szCs w:val="22"/>
              </w:rPr>
            </w:pPr>
            <w:r w:rsidRPr="004E5F1F">
              <w:rPr>
                <w:sz w:val="22"/>
                <w:szCs w:val="22"/>
              </w:rPr>
              <w:t>If an applicant is selected for audit and has indicated military or military spouse status on their CompactConnect application, they are required to upload a valid form of military identification into CompactConnect.</w:t>
            </w:r>
          </w:p>
          <w:p w14:paraId="5754C822" w14:textId="77777777" w:rsidR="004E5F1F" w:rsidRPr="004E5F1F" w:rsidRDefault="004E5F1F" w:rsidP="004E5F1F">
            <w:pPr>
              <w:pStyle w:val="ListParagraph"/>
              <w:numPr>
                <w:ilvl w:val="0"/>
                <w:numId w:val="4"/>
              </w:numPr>
              <w:rPr>
                <w:sz w:val="22"/>
                <w:szCs w:val="22"/>
              </w:rPr>
            </w:pPr>
            <w:r w:rsidRPr="004E5F1F">
              <w:rPr>
                <w:sz w:val="22"/>
                <w:szCs w:val="22"/>
              </w:rPr>
              <w:t>Acceptable documentation includes, but is not limited to:</w:t>
            </w:r>
          </w:p>
          <w:p w14:paraId="6A8EA5BA" w14:textId="77777777" w:rsidR="004E5F1F" w:rsidRPr="004E5F1F" w:rsidRDefault="004E5F1F" w:rsidP="004E5F1F">
            <w:pPr>
              <w:pStyle w:val="ListParagraph"/>
              <w:numPr>
                <w:ilvl w:val="1"/>
                <w:numId w:val="4"/>
              </w:numPr>
              <w:rPr>
                <w:sz w:val="22"/>
                <w:szCs w:val="22"/>
              </w:rPr>
            </w:pPr>
            <w:r w:rsidRPr="004E5F1F">
              <w:rPr>
                <w:sz w:val="22"/>
                <w:szCs w:val="22"/>
              </w:rPr>
              <w:t xml:space="preserve">Uniformed Services ID Card (Active, Reserve, </w:t>
            </w:r>
            <w:commentRangeStart w:id="1"/>
            <w:r w:rsidRPr="004E5F1F">
              <w:rPr>
                <w:sz w:val="22"/>
                <w:szCs w:val="22"/>
              </w:rPr>
              <w:t>Retired</w:t>
            </w:r>
            <w:commentRangeEnd w:id="1"/>
            <w:r w:rsidR="00DA4827">
              <w:rPr>
                <w:rStyle w:val="CommentReference"/>
              </w:rPr>
              <w:commentReference w:id="1"/>
            </w:r>
            <w:r w:rsidRPr="004E5F1F">
              <w:rPr>
                <w:sz w:val="22"/>
                <w:szCs w:val="22"/>
              </w:rPr>
              <w:t>, or Dependent)</w:t>
            </w:r>
          </w:p>
          <w:p w14:paraId="7D78C78E" w14:textId="77777777" w:rsidR="004E5F1F" w:rsidRPr="004E5F1F" w:rsidRDefault="004E5F1F" w:rsidP="004E5F1F">
            <w:pPr>
              <w:pStyle w:val="ListParagraph"/>
              <w:numPr>
                <w:ilvl w:val="1"/>
                <w:numId w:val="4"/>
              </w:numPr>
              <w:rPr>
                <w:sz w:val="22"/>
                <w:szCs w:val="22"/>
              </w:rPr>
            </w:pPr>
            <w:r w:rsidRPr="004E5F1F">
              <w:rPr>
                <w:sz w:val="22"/>
                <w:szCs w:val="22"/>
              </w:rPr>
              <w:t>Current Active Duty Orders reflecting military status</w:t>
            </w:r>
          </w:p>
          <w:p w14:paraId="1D8C7D83" w14:textId="77777777" w:rsidR="004E5F1F" w:rsidRPr="004E5F1F" w:rsidRDefault="004E5F1F" w:rsidP="004E5F1F">
            <w:pPr>
              <w:pStyle w:val="ListParagraph"/>
              <w:numPr>
                <w:ilvl w:val="1"/>
                <w:numId w:val="4"/>
              </w:numPr>
              <w:rPr>
                <w:sz w:val="22"/>
                <w:szCs w:val="22"/>
              </w:rPr>
            </w:pPr>
            <w:r w:rsidRPr="004E5F1F">
              <w:rPr>
                <w:sz w:val="22"/>
                <w:szCs w:val="22"/>
              </w:rPr>
              <w:t>Other official documentation as deemed acceptable by the Commission</w:t>
            </w:r>
          </w:p>
          <w:p w14:paraId="31B7C5DC" w14:textId="77777777" w:rsidR="004E5F1F" w:rsidRPr="004E5F1F" w:rsidRDefault="004E5F1F" w:rsidP="004E5F1F">
            <w:pPr>
              <w:pStyle w:val="ListParagraph"/>
              <w:numPr>
                <w:ilvl w:val="0"/>
                <w:numId w:val="4"/>
              </w:numPr>
              <w:rPr>
                <w:sz w:val="22"/>
                <w:szCs w:val="22"/>
              </w:rPr>
            </w:pPr>
            <w:r w:rsidRPr="004E5F1F">
              <w:rPr>
                <w:sz w:val="22"/>
                <w:szCs w:val="22"/>
              </w:rPr>
              <w:t>Failure to submit the required documentation within the timeframe specified in the audit notice may result in:</w:t>
            </w:r>
          </w:p>
          <w:p w14:paraId="722E5665" w14:textId="77777777" w:rsidR="004E5F1F" w:rsidRPr="004E5F1F" w:rsidRDefault="004E5F1F" w:rsidP="004E5F1F">
            <w:pPr>
              <w:pStyle w:val="ListParagraph"/>
              <w:numPr>
                <w:ilvl w:val="1"/>
                <w:numId w:val="4"/>
              </w:numPr>
              <w:rPr>
                <w:sz w:val="22"/>
                <w:szCs w:val="22"/>
              </w:rPr>
            </w:pPr>
            <w:commentRangeStart w:id="2"/>
            <w:r w:rsidRPr="004E5F1F">
              <w:rPr>
                <w:sz w:val="22"/>
                <w:szCs w:val="22"/>
              </w:rPr>
              <w:t>Revocation</w:t>
            </w:r>
            <w:commentRangeEnd w:id="2"/>
            <w:r w:rsidR="00DA4827">
              <w:rPr>
                <w:rStyle w:val="CommentReference"/>
              </w:rPr>
              <w:commentReference w:id="2"/>
            </w:r>
            <w:r w:rsidRPr="004E5F1F">
              <w:rPr>
                <w:sz w:val="22"/>
                <w:szCs w:val="22"/>
              </w:rPr>
              <w:t xml:space="preserve"> or denial of OT Compact privileges until valid identification of military status is provided, and/or</w:t>
            </w:r>
          </w:p>
          <w:p w14:paraId="11F4A6EE" w14:textId="1100D984" w:rsidR="00EB0A29" w:rsidRPr="00EB0A29" w:rsidRDefault="004E5F1F" w:rsidP="004E5F1F">
            <w:pPr>
              <w:pStyle w:val="ListParagraph"/>
              <w:numPr>
                <w:ilvl w:val="1"/>
                <w:numId w:val="4"/>
              </w:numPr>
            </w:pPr>
            <w:r w:rsidRPr="004E5F1F">
              <w:rPr>
                <w:sz w:val="22"/>
                <w:szCs w:val="22"/>
              </w:rPr>
              <w:t>Other corrective actions as authorized by Commission rules.</w:t>
            </w:r>
          </w:p>
        </w:tc>
      </w:tr>
      <w:tr w:rsidR="004E5F1F" w14:paraId="3FAE6850" w14:textId="77777777" w:rsidTr="001707AD">
        <w:tc>
          <w:tcPr>
            <w:tcW w:w="9350" w:type="dxa"/>
            <w:gridSpan w:val="2"/>
          </w:tcPr>
          <w:p w14:paraId="2E3F8E04" w14:textId="77777777" w:rsidR="004E5F1F" w:rsidRDefault="004E5F1F" w:rsidP="004E5F1F">
            <w:pPr>
              <w:rPr>
                <w:b/>
                <w:bCs/>
              </w:rPr>
            </w:pPr>
            <w:r>
              <w:rPr>
                <w:b/>
                <w:bCs/>
              </w:rPr>
              <w:t>Policy Review:</w:t>
            </w:r>
          </w:p>
          <w:p w14:paraId="5ADBDCB1" w14:textId="573804F2" w:rsidR="004E5F1F" w:rsidRDefault="004E5F1F" w:rsidP="004E5F1F">
            <w:pPr>
              <w:rPr>
                <w:b/>
                <w:bCs/>
              </w:rPr>
            </w:pPr>
            <w:r>
              <w:t>This policy will be reviewed annually to ensure its relevance and effectiveness. Any updates or changes to the policy will be communicated to all Delegates and staff.</w:t>
            </w:r>
          </w:p>
        </w:tc>
      </w:tr>
    </w:tbl>
    <w:p w14:paraId="6702E5F3" w14:textId="5780BBFD" w:rsidR="001525BA" w:rsidRDefault="001525BA"/>
    <w:p w14:paraId="03061D7A" w14:textId="77777777" w:rsidR="00CE78A3" w:rsidRDefault="00CE78A3"/>
    <w:p w14:paraId="1323EBF6" w14:textId="77777777" w:rsidR="00CE78A3" w:rsidRDefault="00CE78A3"/>
    <w:p w14:paraId="3A3DCC40" w14:textId="77777777" w:rsidR="00CE78A3" w:rsidRDefault="00CE78A3"/>
    <w:tbl>
      <w:tblPr>
        <w:tblStyle w:val="TableGrid"/>
        <w:tblW w:w="0" w:type="auto"/>
        <w:tblLook w:val="04A0" w:firstRow="1" w:lastRow="0" w:firstColumn="1" w:lastColumn="0" w:noHBand="0" w:noVBand="1"/>
      </w:tblPr>
      <w:tblGrid>
        <w:gridCol w:w="2448"/>
        <w:gridCol w:w="2374"/>
        <w:gridCol w:w="2264"/>
        <w:gridCol w:w="2264"/>
      </w:tblGrid>
      <w:tr w:rsidR="00EB0A29" w14:paraId="1C2801DD" w14:textId="77777777" w:rsidTr="00270A62">
        <w:tc>
          <w:tcPr>
            <w:tcW w:w="9350" w:type="dxa"/>
            <w:gridSpan w:val="4"/>
            <w:shd w:val="clear" w:color="auto" w:fill="F2F2F2" w:themeFill="background1" w:themeFillShade="F2"/>
          </w:tcPr>
          <w:p w14:paraId="55B1AC33" w14:textId="267DB67E" w:rsidR="00EB0A29" w:rsidRPr="00270A62" w:rsidRDefault="00270A62" w:rsidP="00270A62">
            <w:r>
              <w:t xml:space="preserve">This policy was originally drafted by the OTCC </w:t>
            </w:r>
            <w:r w:rsidR="004E5F1F">
              <w:t>Executive</w:t>
            </w:r>
            <w:r>
              <w:t xml:space="preserve"> Committee </w:t>
            </w:r>
            <w:r w:rsidR="001816F6">
              <w:t xml:space="preserve">in </w:t>
            </w:r>
            <w:r w:rsidR="004E5F1F">
              <w:t>October 2025</w:t>
            </w:r>
            <w:r>
              <w:t xml:space="preserve">.  It became effective on </w:t>
            </w:r>
            <w:r w:rsidR="004E5F1F">
              <w:t>Novem</w:t>
            </w:r>
            <w:r w:rsidR="00EE3220">
              <w:t>ber 1, 2025</w:t>
            </w:r>
            <w:r>
              <w:t>.</w:t>
            </w:r>
          </w:p>
        </w:tc>
      </w:tr>
      <w:tr w:rsidR="00EB0A29" w14:paraId="6CE2A715" w14:textId="278F6912" w:rsidTr="00270A62">
        <w:tc>
          <w:tcPr>
            <w:tcW w:w="9350" w:type="dxa"/>
            <w:gridSpan w:val="4"/>
            <w:shd w:val="clear" w:color="auto" w:fill="D9D9D9" w:themeFill="background1" w:themeFillShade="D9"/>
          </w:tcPr>
          <w:p w14:paraId="05CA265D" w14:textId="35EA27B9" w:rsidR="00EB0A29" w:rsidRDefault="00EB0A29" w:rsidP="00EB0A29">
            <w:pPr>
              <w:jc w:val="center"/>
              <w:rPr>
                <w:b/>
                <w:bCs/>
              </w:rPr>
            </w:pPr>
            <w:r>
              <w:rPr>
                <w:b/>
                <w:bCs/>
              </w:rPr>
              <w:t>POLICY REVISION HISTORY</w:t>
            </w:r>
          </w:p>
        </w:tc>
      </w:tr>
      <w:tr w:rsidR="00EB0A29" w14:paraId="1705D1F0" w14:textId="372E65B9" w:rsidTr="00270A62">
        <w:tc>
          <w:tcPr>
            <w:tcW w:w="2448" w:type="dxa"/>
            <w:shd w:val="clear" w:color="auto" w:fill="D9D9D9" w:themeFill="background1" w:themeFillShade="D9"/>
          </w:tcPr>
          <w:p w14:paraId="4E30C96A" w14:textId="0EE4F480" w:rsidR="00EB0A29" w:rsidRPr="00EB0A29" w:rsidRDefault="00EB0A29" w:rsidP="00EB0A29">
            <w:pPr>
              <w:jc w:val="center"/>
              <w:rPr>
                <w:b/>
                <w:bCs/>
              </w:rPr>
            </w:pPr>
            <w:r w:rsidRPr="00EB0A29">
              <w:rPr>
                <w:b/>
                <w:bCs/>
              </w:rPr>
              <w:t>Date of Revision</w:t>
            </w:r>
          </w:p>
        </w:tc>
        <w:tc>
          <w:tcPr>
            <w:tcW w:w="2374" w:type="dxa"/>
            <w:shd w:val="clear" w:color="auto" w:fill="D9D9D9" w:themeFill="background1" w:themeFillShade="D9"/>
          </w:tcPr>
          <w:p w14:paraId="40ABB9DB" w14:textId="38446087" w:rsidR="00EB0A29" w:rsidRPr="00EB0A29" w:rsidRDefault="00EB0A29" w:rsidP="00EB0A29">
            <w:pPr>
              <w:jc w:val="center"/>
              <w:rPr>
                <w:b/>
                <w:bCs/>
              </w:rPr>
            </w:pPr>
            <w:r w:rsidRPr="00EB0A29">
              <w:rPr>
                <w:b/>
                <w:bCs/>
              </w:rPr>
              <w:t>Revised by (author)</w:t>
            </w:r>
          </w:p>
        </w:tc>
        <w:tc>
          <w:tcPr>
            <w:tcW w:w="2264" w:type="dxa"/>
            <w:shd w:val="clear" w:color="auto" w:fill="D9D9D9" w:themeFill="background1" w:themeFillShade="D9"/>
          </w:tcPr>
          <w:p w14:paraId="0A013CEE" w14:textId="006E05CE" w:rsidR="00EB0A29" w:rsidRPr="00EB0A29" w:rsidRDefault="00EB0A29" w:rsidP="00EB0A29">
            <w:pPr>
              <w:jc w:val="center"/>
              <w:rPr>
                <w:b/>
                <w:bCs/>
              </w:rPr>
            </w:pPr>
            <w:r w:rsidRPr="00EB0A29">
              <w:rPr>
                <w:b/>
                <w:bCs/>
              </w:rPr>
              <w:t xml:space="preserve">Final approval </w:t>
            </w:r>
            <w:r>
              <w:rPr>
                <w:b/>
                <w:bCs/>
              </w:rPr>
              <w:t>authority</w:t>
            </w:r>
          </w:p>
        </w:tc>
        <w:tc>
          <w:tcPr>
            <w:tcW w:w="2264" w:type="dxa"/>
            <w:shd w:val="clear" w:color="auto" w:fill="D9D9D9" w:themeFill="background1" w:themeFillShade="D9"/>
          </w:tcPr>
          <w:p w14:paraId="6C8B3E51" w14:textId="43B943DC" w:rsidR="00EB0A29" w:rsidRPr="00EB0A29" w:rsidRDefault="00EB0A29" w:rsidP="00EB0A29">
            <w:pPr>
              <w:jc w:val="center"/>
              <w:rPr>
                <w:b/>
                <w:bCs/>
              </w:rPr>
            </w:pPr>
            <w:r w:rsidRPr="00EB0A29">
              <w:rPr>
                <w:b/>
                <w:bCs/>
              </w:rPr>
              <w:t>Effective Date of Revised Policy</w:t>
            </w:r>
          </w:p>
        </w:tc>
      </w:tr>
      <w:tr w:rsidR="00EB0A29" w14:paraId="2023D676" w14:textId="34E28AAF" w:rsidTr="00270A62">
        <w:tc>
          <w:tcPr>
            <w:tcW w:w="2448" w:type="dxa"/>
            <w:shd w:val="clear" w:color="auto" w:fill="F2F2F2" w:themeFill="background1" w:themeFillShade="F2"/>
          </w:tcPr>
          <w:p w14:paraId="5553B3AF" w14:textId="1BB04C6B" w:rsidR="00EB0A29" w:rsidRDefault="00EB0A29"/>
        </w:tc>
        <w:tc>
          <w:tcPr>
            <w:tcW w:w="2374" w:type="dxa"/>
            <w:shd w:val="clear" w:color="auto" w:fill="F2F2F2" w:themeFill="background1" w:themeFillShade="F2"/>
          </w:tcPr>
          <w:p w14:paraId="07213611" w14:textId="77777777" w:rsidR="00EB0A29" w:rsidRDefault="00EB0A29"/>
        </w:tc>
        <w:tc>
          <w:tcPr>
            <w:tcW w:w="2264" w:type="dxa"/>
            <w:shd w:val="clear" w:color="auto" w:fill="F2F2F2" w:themeFill="background1" w:themeFillShade="F2"/>
          </w:tcPr>
          <w:p w14:paraId="71EF2CB8" w14:textId="77777777" w:rsidR="00EB0A29" w:rsidRDefault="00EB0A29"/>
        </w:tc>
        <w:tc>
          <w:tcPr>
            <w:tcW w:w="2264" w:type="dxa"/>
            <w:shd w:val="clear" w:color="auto" w:fill="F2F2F2" w:themeFill="background1" w:themeFillShade="F2"/>
          </w:tcPr>
          <w:p w14:paraId="7F93842E" w14:textId="77777777" w:rsidR="00EB0A29" w:rsidRDefault="00EB0A29"/>
        </w:tc>
      </w:tr>
      <w:tr w:rsidR="00EB0A29" w14:paraId="4411F465" w14:textId="5942C3EF" w:rsidTr="00270A62">
        <w:tc>
          <w:tcPr>
            <w:tcW w:w="2448" w:type="dxa"/>
            <w:shd w:val="clear" w:color="auto" w:fill="F2F2F2" w:themeFill="background1" w:themeFillShade="F2"/>
          </w:tcPr>
          <w:p w14:paraId="19E72DC2" w14:textId="77777777" w:rsidR="00EB0A29" w:rsidRDefault="00EB0A29"/>
        </w:tc>
        <w:tc>
          <w:tcPr>
            <w:tcW w:w="2374" w:type="dxa"/>
            <w:shd w:val="clear" w:color="auto" w:fill="F2F2F2" w:themeFill="background1" w:themeFillShade="F2"/>
          </w:tcPr>
          <w:p w14:paraId="54D32A7E" w14:textId="77777777" w:rsidR="00EB0A29" w:rsidRDefault="00EB0A29"/>
        </w:tc>
        <w:tc>
          <w:tcPr>
            <w:tcW w:w="2264" w:type="dxa"/>
            <w:shd w:val="clear" w:color="auto" w:fill="F2F2F2" w:themeFill="background1" w:themeFillShade="F2"/>
          </w:tcPr>
          <w:p w14:paraId="71637EF7" w14:textId="77777777" w:rsidR="00EB0A29" w:rsidRDefault="00EB0A29"/>
        </w:tc>
        <w:tc>
          <w:tcPr>
            <w:tcW w:w="2264" w:type="dxa"/>
            <w:shd w:val="clear" w:color="auto" w:fill="F2F2F2" w:themeFill="background1" w:themeFillShade="F2"/>
          </w:tcPr>
          <w:p w14:paraId="110AAD17" w14:textId="77777777" w:rsidR="00EB0A29" w:rsidRDefault="00EB0A29"/>
        </w:tc>
      </w:tr>
      <w:tr w:rsidR="00EB0A29" w14:paraId="07664EE1" w14:textId="619EF96F" w:rsidTr="00270A62">
        <w:tc>
          <w:tcPr>
            <w:tcW w:w="2448" w:type="dxa"/>
            <w:shd w:val="clear" w:color="auto" w:fill="F2F2F2" w:themeFill="background1" w:themeFillShade="F2"/>
          </w:tcPr>
          <w:p w14:paraId="7FD9B19C" w14:textId="77777777" w:rsidR="00EB0A29" w:rsidRDefault="00EB0A29"/>
        </w:tc>
        <w:tc>
          <w:tcPr>
            <w:tcW w:w="2374" w:type="dxa"/>
            <w:shd w:val="clear" w:color="auto" w:fill="F2F2F2" w:themeFill="background1" w:themeFillShade="F2"/>
          </w:tcPr>
          <w:p w14:paraId="5D7FB597" w14:textId="77777777" w:rsidR="00EB0A29" w:rsidRDefault="00EB0A29"/>
        </w:tc>
        <w:tc>
          <w:tcPr>
            <w:tcW w:w="2264" w:type="dxa"/>
            <w:shd w:val="clear" w:color="auto" w:fill="F2F2F2" w:themeFill="background1" w:themeFillShade="F2"/>
          </w:tcPr>
          <w:p w14:paraId="2AD40C5D" w14:textId="77777777" w:rsidR="00EB0A29" w:rsidRDefault="00EB0A29"/>
        </w:tc>
        <w:tc>
          <w:tcPr>
            <w:tcW w:w="2264" w:type="dxa"/>
            <w:shd w:val="clear" w:color="auto" w:fill="F2F2F2" w:themeFill="background1" w:themeFillShade="F2"/>
          </w:tcPr>
          <w:p w14:paraId="23EB1AFD" w14:textId="77777777" w:rsidR="00EB0A29" w:rsidRDefault="00EB0A29"/>
        </w:tc>
      </w:tr>
    </w:tbl>
    <w:p w14:paraId="58CAB5EF" w14:textId="77777777" w:rsidR="00EB0A29" w:rsidRDefault="00EB0A29"/>
    <w:sectPr w:rsidR="00EB0A29" w:rsidSect="00E33CDA">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anda Perry" w:date="2025-11-13T11:36:00Z" w:initials="AP">
    <w:p w14:paraId="40A6BB16" w14:textId="77777777" w:rsidR="00DA4827" w:rsidRDefault="00DA4827" w:rsidP="00DA4827">
      <w:pPr>
        <w:pStyle w:val="CommentText"/>
      </w:pPr>
      <w:r>
        <w:rPr>
          <w:rStyle w:val="CommentReference"/>
        </w:rPr>
        <w:annotationRef/>
      </w:r>
      <w:r>
        <w:t>Should we add “active duty” military…?</w:t>
      </w:r>
    </w:p>
  </w:comment>
  <w:comment w:id="1" w:author="Amanda Perry" w:date="2025-11-13T11:34:00Z" w:initials="AP">
    <w:p w14:paraId="457AC2AB" w14:textId="455FB219" w:rsidR="00DA4827" w:rsidRDefault="00DA4827" w:rsidP="00DA4827">
      <w:pPr>
        <w:pStyle w:val="CommentText"/>
      </w:pPr>
      <w:r>
        <w:rPr>
          <w:rStyle w:val="CommentReference"/>
        </w:rPr>
        <w:annotationRef/>
      </w:r>
      <w:r>
        <w:t>Remove “retired” because it’s only for active duty…? What about reserve?</w:t>
      </w:r>
    </w:p>
  </w:comment>
  <w:comment w:id="2" w:author="Amanda Perry" w:date="2025-11-13T11:35:00Z" w:initials="AP">
    <w:p w14:paraId="0256E8DA" w14:textId="77777777" w:rsidR="00DA4827" w:rsidRDefault="00DA4827" w:rsidP="00DA4827">
      <w:pPr>
        <w:pStyle w:val="CommentText"/>
      </w:pPr>
      <w:r>
        <w:rPr>
          <w:rStyle w:val="CommentReference"/>
        </w:rPr>
        <w:annotationRef/>
      </w:r>
      <w:r>
        <w:t>Change “revocation” to “deactivate” since revocating a license would go through a rules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A6BB16" w15:done="0"/>
  <w15:commentEx w15:paraId="457AC2AB" w15:done="0"/>
  <w15:commentEx w15:paraId="0256E8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0D4CB" w16cex:dateUtc="2025-11-13T17:36:00Z"/>
  <w16cex:commentExtensible w16cex:durableId="24E17400" w16cex:dateUtc="2025-11-13T17:34:00Z"/>
  <w16cex:commentExtensible w16cex:durableId="55C92E0C" w16cex:dateUtc="2025-11-13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A6BB16" w16cid:durableId="0740D4CB"/>
  <w16cid:commentId w16cid:paraId="457AC2AB" w16cid:durableId="24E17400"/>
  <w16cid:commentId w16cid:paraId="0256E8DA" w16cid:durableId="55C92E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0601" w14:textId="77777777" w:rsidR="0018692A" w:rsidRDefault="0018692A" w:rsidP="00011852">
      <w:pPr>
        <w:spacing w:after="0"/>
      </w:pPr>
      <w:r>
        <w:separator/>
      </w:r>
    </w:p>
  </w:endnote>
  <w:endnote w:type="continuationSeparator" w:id="0">
    <w:p w14:paraId="159C502B" w14:textId="77777777" w:rsidR="0018692A" w:rsidRDefault="0018692A" w:rsidP="00011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23B7" w14:textId="7FC40B52" w:rsidR="00EB0A29" w:rsidRDefault="00EB0A29">
    <w:pPr>
      <w:pStyle w:val="Footer"/>
    </w:pPr>
    <w:r w:rsidRPr="00EE3220">
      <w:rPr>
        <w:color w:val="4472C4" w:themeColor="accent1"/>
        <w:sz w:val="16"/>
        <w:szCs w:val="16"/>
      </w:rPr>
      <w:t xml:space="preserve">Occupational Therapy Compact Commission |201 Park Washington Court |Falls Church, VA 22046 | e: </w:t>
    </w:r>
    <w:r w:rsidRPr="00EE3220">
      <w:rPr>
        <w:noProof/>
        <w:color w:val="4472C4" w:themeColor="accent1"/>
        <w:sz w:val="16"/>
        <w:szCs w:val="16"/>
      </w:rPr>
      <mc:AlternateContent>
        <mc:Choice Requires="wps">
          <w:drawing>
            <wp:anchor distT="0" distB="0" distL="114300" distR="114300" simplePos="0" relativeHeight="251665408" behindDoc="0" locked="0" layoutInCell="1" allowOverlap="1" wp14:anchorId="082E2F48" wp14:editId="6ED87F2C">
              <wp:simplePos x="0" y="0"/>
              <wp:positionH relativeFrom="page">
                <wp:align>center</wp:align>
              </wp:positionH>
              <wp:positionV relativeFrom="page">
                <wp:align>center</wp:align>
              </wp:positionV>
              <wp:extent cx="7364730" cy="9528810"/>
              <wp:effectExtent l="0" t="0" r="26670" b="26670"/>
              <wp:wrapNone/>
              <wp:docPr id="1971925394"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3F91B7" id="Rectangle 77" o:spid="_x0000_s1026" style="position:absolute;margin-left:0;margin-top:0;width:579.9pt;height:750.3pt;z-index:2516654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EE3220" w:rsidRPr="00EE3220">
      <w:rPr>
        <w:color w:val="4472C4" w:themeColor="accent1"/>
        <w:sz w:val="16"/>
        <w:szCs w:val="16"/>
      </w:rPr>
      <w:t>executivedirector@otcompact.gov</w:t>
    </w:r>
    <w:r w:rsidRPr="0061011D">
      <w:rPr>
        <w:color w:val="4472C4" w:themeColor="accent1"/>
        <w:sz w:val="18"/>
        <w:szCs w:val="18"/>
      </w:rPr>
      <w:t xml:space="preserve"> </w:t>
    </w:r>
    <w:r>
      <w:rPr>
        <w:noProof/>
        <w:color w:val="4472C4" w:themeColor="accent1"/>
      </w:rPr>
      <mc:AlternateContent>
        <mc:Choice Requires="wps">
          <w:drawing>
            <wp:anchor distT="0" distB="0" distL="114300" distR="114300" simplePos="0" relativeHeight="251663360" behindDoc="0" locked="0" layoutInCell="1" allowOverlap="1" wp14:anchorId="537147EF" wp14:editId="3BE17E5B">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7D5595" id="Rectangle 77"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sz w:val="18"/>
        <w:szCs w:val="18"/>
      </w:rPr>
      <w:t>--</w:t>
    </w:r>
    <w:r>
      <w:rPr>
        <w:rFonts w:asciiTheme="majorHAnsi" w:eastAsiaTheme="majorEastAsia" w:hAnsiTheme="majorHAnsi" w:cstheme="majorBidi"/>
        <w:color w:val="4472C4" w:themeColor="accent1"/>
        <w:sz w:val="20"/>
        <w:szCs w:val="20"/>
      </w:rPr>
      <w:t xml:space="preserve"> </w:t>
    </w:r>
    <w:r w:rsidRPr="00EE3220">
      <w:rPr>
        <w:rFonts w:eastAsiaTheme="minorEastAsia"/>
        <w:color w:val="4472C4" w:themeColor="accent1"/>
        <w:sz w:val="18"/>
        <w:szCs w:val="18"/>
      </w:rPr>
      <w:fldChar w:fldCharType="begin"/>
    </w:r>
    <w:r w:rsidRPr="00EE3220">
      <w:rPr>
        <w:color w:val="4472C4" w:themeColor="accent1"/>
        <w:sz w:val="18"/>
        <w:szCs w:val="18"/>
      </w:rPr>
      <w:instrText xml:space="preserve"> PAGE    \* MERGEFORMAT </w:instrText>
    </w:r>
    <w:r w:rsidRPr="00EE3220">
      <w:rPr>
        <w:rFonts w:eastAsiaTheme="minorEastAsia"/>
        <w:color w:val="4472C4" w:themeColor="accent1"/>
        <w:sz w:val="18"/>
        <w:szCs w:val="18"/>
      </w:rPr>
      <w:fldChar w:fldCharType="separate"/>
    </w:r>
    <w:r w:rsidRPr="00EE3220">
      <w:rPr>
        <w:rFonts w:asciiTheme="majorHAnsi" w:eastAsiaTheme="majorEastAsia" w:hAnsiTheme="majorHAnsi" w:cstheme="majorBidi"/>
        <w:noProof/>
        <w:color w:val="4472C4" w:themeColor="accent1"/>
        <w:sz w:val="18"/>
        <w:szCs w:val="18"/>
      </w:rPr>
      <w:t>2</w:t>
    </w:r>
    <w:r w:rsidRPr="00EE3220">
      <w:rPr>
        <w:rFonts w:asciiTheme="majorHAnsi" w:eastAsiaTheme="majorEastAsia" w:hAnsiTheme="majorHAnsi" w:cstheme="majorBidi"/>
        <w:noProof/>
        <w:color w:val="4472C4"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084D" w14:textId="77777777" w:rsidR="0018692A" w:rsidRDefault="0018692A" w:rsidP="00011852">
      <w:pPr>
        <w:spacing w:after="0"/>
      </w:pPr>
      <w:r>
        <w:separator/>
      </w:r>
    </w:p>
  </w:footnote>
  <w:footnote w:type="continuationSeparator" w:id="0">
    <w:p w14:paraId="015A5B47" w14:textId="77777777" w:rsidR="0018692A" w:rsidRDefault="0018692A" w:rsidP="000118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2D9F" w14:textId="36ABD5F8" w:rsidR="00011852" w:rsidRDefault="00000000">
    <w:pPr>
      <w:pStyle w:val="Header"/>
    </w:pPr>
    <w:r>
      <w:rPr>
        <w:noProof/>
      </w:rPr>
      <w:pict w14:anchorId="793C5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594" o:spid="_x0000_s1026" type="#_x0000_t75" style="position:absolute;margin-left:0;margin-top:0;width:467.4pt;height:98.35pt;z-index:-251657216;mso-position-horizontal:center;mso-position-horizontal-relative:margin;mso-position-vertical:center;mso-position-vertical-relative:margin" o:allowincell="f">
          <v:imagedata r:id="rId1" o:title="OT Compac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DFF" w14:textId="2A3314DC" w:rsidR="00011852" w:rsidRPr="00EB0A29" w:rsidRDefault="00E33CDA" w:rsidP="00E33CDA">
    <w:pPr>
      <w:rPr>
        <w:b/>
        <w:bCs/>
      </w:rPr>
    </w:pPr>
    <w:r w:rsidRPr="00EB0A29">
      <w:rPr>
        <w:noProof/>
      </w:rPr>
      <w:drawing>
        <wp:anchor distT="0" distB="0" distL="114300" distR="114300" simplePos="0" relativeHeight="251661312" behindDoc="0" locked="0" layoutInCell="1" allowOverlap="1" wp14:anchorId="3F7319E9" wp14:editId="16BBC776">
          <wp:simplePos x="0" y="0"/>
          <wp:positionH relativeFrom="margin">
            <wp:align>right</wp:align>
          </wp:positionH>
          <wp:positionV relativeFrom="page">
            <wp:posOffset>389034</wp:posOffset>
          </wp:positionV>
          <wp:extent cx="1920240" cy="403860"/>
          <wp:effectExtent l="0" t="0" r="3810" b="0"/>
          <wp:wrapSquare wrapText="bothSides"/>
          <wp:docPr id="1120979422"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79422"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403860"/>
                  </a:xfrm>
                  <a:prstGeom prst="rect">
                    <a:avLst/>
                  </a:prstGeom>
                </pic:spPr>
              </pic:pic>
            </a:graphicData>
          </a:graphic>
        </wp:anchor>
      </w:drawing>
    </w:r>
    <w:r w:rsidRPr="00EB0A29">
      <w:rPr>
        <w:b/>
        <w:bCs/>
      </w:rPr>
      <w:t>OCCUPATIONAL THERAPY COMPACT COMMISSION (OTCC)</w:t>
    </w:r>
    <w:r w:rsidRPr="00EB0A29">
      <w:rPr>
        <w:b/>
        <w:bCs/>
      </w:rPr>
      <w:br/>
    </w:r>
    <w:r w:rsidR="00000000">
      <w:rPr>
        <w:noProof/>
      </w:rPr>
      <w:pict w14:anchorId="12A4C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595" o:spid="_x0000_s1027" type="#_x0000_t75" style="position:absolute;margin-left:0;margin-top:0;width:467.4pt;height:98.35pt;z-index:-251656192;mso-position-horizontal:center;mso-position-horizontal-relative:margin;mso-position-vertical:center;mso-position-vertical-relative:margin" o:allowincell="f">
          <v:imagedata r:id="rId2" o:title="OT Compact Logo" gain="19661f" blacklevel="22938f"/>
          <w10:wrap anchorx="margin" anchory="margin"/>
        </v:shape>
      </w:pict>
    </w:r>
    <w:r w:rsidR="004E5F1F">
      <w:rPr>
        <w:b/>
        <w:bCs/>
      </w:rPr>
      <w:t>MILITARY IDENTIFICATION SUBMISSION for AUDITED APPLICANTS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493E" w14:textId="2605C89E" w:rsidR="00011852" w:rsidRDefault="00000000">
    <w:pPr>
      <w:pStyle w:val="Header"/>
    </w:pPr>
    <w:r>
      <w:rPr>
        <w:noProof/>
      </w:rPr>
      <w:pict w14:anchorId="46EE1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81593" o:spid="_x0000_s1025" type="#_x0000_t75" style="position:absolute;margin-left:0;margin-top:0;width:467.4pt;height:98.35pt;z-index:-251658240;mso-position-horizontal:center;mso-position-horizontal-relative:margin;mso-position-vertical:center;mso-position-vertical-relative:margin" o:allowincell="f">
          <v:imagedata r:id="rId1" o:title="OT Compact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50A1"/>
    <w:multiLevelType w:val="hybridMultilevel"/>
    <w:tmpl w:val="920673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A0790A"/>
    <w:multiLevelType w:val="hybridMultilevel"/>
    <w:tmpl w:val="B62C6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7454DA"/>
    <w:multiLevelType w:val="hybridMultilevel"/>
    <w:tmpl w:val="01F20A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E95C00"/>
    <w:multiLevelType w:val="hybridMultilevel"/>
    <w:tmpl w:val="9FF4E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634090">
    <w:abstractNumId w:val="1"/>
  </w:num>
  <w:num w:numId="2" w16cid:durableId="1961914811">
    <w:abstractNumId w:val="2"/>
  </w:num>
  <w:num w:numId="3" w16cid:durableId="1909995225">
    <w:abstractNumId w:val="3"/>
  </w:num>
  <w:num w:numId="4" w16cid:durableId="11695221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Perry">
    <w15:presenceInfo w15:providerId="Windows Live" w15:userId="a26791589d57e2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52"/>
    <w:rsid w:val="00011852"/>
    <w:rsid w:val="00016791"/>
    <w:rsid w:val="00063220"/>
    <w:rsid w:val="001525BA"/>
    <w:rsid w:val="001816F6"/>
    <w:rsid w:val="0018692A"/>
    <w:rsid w:val="00270A62"/>
    <w:rsid w:val="00295AE9"/>
    <w:rsid w:val="00322BB7"/>
    <w:rsid w:val="003D0E4E"/>
    <w:rsid w:val="004042D0"/>
    <w:rsid w:val="004E5F1F"/>
    <w:rsid w:val="00975C93"/>
    <w:rsid w:val="00CC0505"/>
    <w:rsid w:val="00CD2A45"/>
    <w:rsid w:val="00CE78A3"/>
    <w:rsid w:val="00DA00A4"/>
    <w:rsid w:val="00DA4827"/>
    <w:rsid w:val="00E33CDA"/>
    <w:rsid w:val="00EB0A29"/>
    <w:rsid w:val="00EE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22AB"/>
  <w15:chartTrackingRefBased/>
  <w15:docId w15:val="{2B90DA7A-3485-4174-954D-A906DD82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852"/>
    <w:pPr>
      <w:tabs>
        <w:tab w:val="center" w:pos="4680"/>
        <w:tab w:val="right" w:pos="9360"/>
      </w:tabs>
      <w:spacing w:after="0"/>
    </w:pPr>
  </w:style>
  <w:style w:type="character" w:customStyle="1" w:styleId="HeaderChar">
    <w:name w:val="Header Char"/>
    <w:basedOn w:val="DefaultParagraphFont"/>
    <w:link w:val="Header"/>
    <w:uiPriority w:val="99"/>
    <w:rsid w:val="00011852"/>
  </w:style>
  <w:style w:type="paragraph" w:styleId="Footer">
    <w:name w:val="footer"/>
    <w:basedOn w:val="Normal"/>
    <w:link w:val="FooterChar"/>
    <w:uiPriority w:val="99"/>
    <w:unhideWhenUsed/>
    <w:rsid w:val="00011852"/>
    <w:pPr>
      <w:tabs>
        <w:tab w:val="center" w:pos="4680"/>
        <w:tab w:val="right" w:pos="9360"/>
      </w:tabs>
      <w:spacing w:after="0"/>
    </w:pPr>
  </w:style>
  <w:style w:type="character" w:customStyle="1" w:styleId="FooterChar">
    <w:name w:val="Footer Char"/>
    <w:basedOn w:val="DefaultParagraphFont"/>
    <w:link w:val="Footer"/>
    <w:uiPriority w:val="99"/>
    <w:rsid w:val="00011852"/>
  </w:style>
  <w:style w:type="table" w:styleId="TableGrid">
    <w:name w:val="Table Grid"/>
    <w:basedOn w:val="TableNormal"/>
    <w:uiPriority w:val="39"/>
    <w:rsid w:val="00E33C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F1F"/>
    <w:pPr>
      <w:spacing w:after="160" w:line="278" w:lineRule="auto"/>
      <w:ind w:left="720"/>
      <w:contextualSpacing/>
    </w:pPr>
    <w:rPr>
      <w:sz w:val="24"/>
      <w:szCs w:val="24"/>
    </w:rPr>
  </w:style>
  <w:style w:type="character" w:styleId="CommentReference">
    <w:name w:val="annotation reference"/>
    <w:basedOn w:val="DefaultParagraphFont"/>
    <w:uiPriority w:val="99"/>
    <w:semiHidden/>
    <w:unhideWhenUsed/>
    <w:rsid w:val="00DA4827"/>
    <w:rPr>
      <w:sz w:val="16"/>
      <w:szCs w:val="16"/>
    </w:rPr>
  </w:style>
  <w:style w:type="paragraph" w:styleId="CommentText">
    <w:name w:val="annotation text"/>
    <w:basedOn w:val="Normal"/>
    <w:link w:val="CommentTextChar"/>
    <w:uiPriority w:val="99"/>
    <w:unhideWhenUsed/>
    <w:rsid w:val="00DA4827"/>
    <w:rPr>
      <w:sz w:val="20"/>
      <w:szCs w:val="20"/>
    </w:rPr>
  </w:style>
  <w:style w:type="character" w:customStyle="1" w:styleId="CommentTextChar">
    <w:name w:val="Comment Text Char"/>
    <w:basedOn w:val="DefaultParagraphFont"/>
    <w:link w:val="CommentText"/>
    <w:uiPriority w:val="99"/>
    <w:rsid w:val="00DA4827"/>
    <w:rPr>
      <w:sz w:val="20"/>
      <w:szCs w:val="20"/>
    </w:rPr>
  </w:style>
  <w:style w:type="paragraph" w:styleId="CommentSubject">
    <w:name w:val="annotation subject"/>
    <w:basedOn w:val="CommentText"/>
    <w:next w:val="CommentText"/>
    <w:link w:val="CommentSubjectChar"/>
    <w:uiPriority w:val="99"/>
    <w:semiHidden/>
    <w:unhideWhenUsed/>
    <w:rsid w:val="00DA4827"/>
    <w:rPr>
      <w:b/>
      <w:bCs/>
    </w:rPr>
  </w:style>
  <w:style w:type="character" w:customStyle="1" w:styleId="CommentSubjectChar">
    <w:name w:val="Comment Subject Char"/>
    <w:basedOn w:val="CommentTextChar"/>
    <w:link w:val="CommentSubject"/>
    <w:uiPriority w:val="99"/>
    <w:semiHidden/>
    <w:rsid w:val="00DA48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9FE6-D246-4715-B166-89840966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Perry</dc:creator>
  <cp:keywords/>
  <dc:description/>
  <cp:lastModifiedBy>Amanda Perry</cp:lastModifiedBy>
  <cp:revision>3</cp:revision>
  <dcterms:created xsi:type="dcterms:W3CDTF">2025-10-23T20:35:00Z</dcterms:created>
  <dcterms:modified xsi:type="dcterms:W3CDTF">2025-11-13T17:36:00Z</dcterms:modified>
</cp:coreProperties>
</file>