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295AE9" w14:paraId="3F7A6609" w14:textId="77777777" w:rsidTr="00361C28">
        <w:tc>
          <w:tcPr>
            <w:tcW w:w="4675" w:type="dxa"/>
          </w:tcPr>
          <w:p w14:paraId="3D74DDE0" w14:textId="77777777" w:rsidR="00295AE9" w:rsidRDefault="00295AE9">
            <w:pPr>
              <w:rPr>
                <w:b/>
                <w:bCs/>
              </w:rPr>
            </w:pPr>
            <w:r>
              <w:rPr>
                <w:b/>
                <w:bCs/>
              </w:rPr>
              <w:t xml:space="preserve">Effective Date:  </w:t>
            </w:r>
          </w:p>
          <w:p w14:paraId="46B0251E" w14:textId="1256F236" w:rsidR="00295AE9" w:rsidRPr="00295AE9" w:rsidRDefault="00142364">
            <w:r w:rsidRPr="008013C4">
              <w:rPr>
                <w:highlight w:val="yellow"/>
              </w:rPr>
              <w:t xml:space="preserve">January </w:t>
            </w:r>
            <w:r w:rsidR="0021292F" w:rsidRPr="008013C4">
              <w:rPr>
                <w:highlight w:val="yellow"/>
              </w:rPr>
              <w:t>12</w:t>
            </w:r>
            <w:r w:rsidR="004E5F1F" w:rsidRPr="008013C4">
              <w:rPr>
                <w:highlight w:val="yellow"/>
              </w:rPr>
              <w:t>, 202</w:t>
            </w:r>
            <w:r w:rsidR="0021292F" w:rsidRPr="008013C4">
              <w:rPr>
                <w:highlight w:val="yellow"/>
              </w:rPr>
              <w:t>6</w:t>
            </w:r>
          </w:p>
        </w:tc>
        <w:tc>
          <w:tcPr>
            <w:tcW w:w="4675" w:type="dxa"/>
          </w:tcPr>
          <w:p w14:paraId="13F174DC" w14:textId="77777777" w:rsidR="00295AE9" w:rsidRDefault="00295AE9">
            <w:r>
              <w:rPr>
                <w:b/>
                <w:bCs/>
              </w:rPr>
              <w:t>Scope:</w:t>
            </w:r>
            <w:r>
              <w:t xml:space="preserve">  </w:t>
            </w:r>
          </w:p>
          <w:p w14:paraId="3910402A" w14:textId="2A4B29FF" w:rsidR="00295AE9" w:rsidRPr="00295AE9" w:rsidRDefault="00295AE9">
            <w:r>
              <w:t xml:space="preserve">This policy applies to </w:t>
            </w:r>
            <w:r w:rsidR="0021292F">
              <w:t>the OTCC, its Secretariat, and the OTC member states.</w:t>
            </w:r>
            <w:r w:rsidR="004E5F1F">
              <w:t xml:space="preserve"> </w:t>
            </w:r>
          </w:p>
        </w:tc>
      </w:tr>
      <w:tr w:rsidR="00295AE9" w14:paraId="4AC2431E" w14:textId="77777777" w:rsidTr="0021292F">
        <w:trPr>
          <w:trHeight w:val="1151"/>
        </w:trPr>
        <w:tc>
          <w:tcPr>
            <w:tcW w:w="9350" w:type="dxa"/>
            <w:gridSpan w:val="2"/>
          </w:tcPr>
          <w:p w14:paraId="643E72AD" w14:textId="6B2809C3" w:rsidR="00295AE9" w:rsidRPr="004E5F1F" w:rsidRDefault="00295AE9" w:rsidP="004E5F1F">
            <w:r>
              <w:rPr>
                <w:b/>
                <w:bCs/>
              </w:rPr>
              <w:t>Purpose:</w:t>
            </w:r>
            <w:r>
              <w:rPr>
                <w:b/>
                <w:bCs/>
              </w:rPr>
              <w:br/>
            </w:r>
            <w:r w:rsidR="004E5F1F">
              <w:t xml:space="preserve">This policy establishes the </w:t>
            </w:r>
            <w:r w:rsidR="0021292F">
              <w:t xml:space="preserve">process for the OTCC to make monthly payments to the OTC member states.  The OTCC collects state fees on behalf of each member state which sells </w:t>
            </w:r>
            <w:r w:rsidR="008013C4">
              <w:t xml:space="preserve">OTC </w:t>
            </w:r>
            <w:r w:rsidR="0021292F">
              <w:t xml:space="preserve">privileges to practice.  Those fees are returned to the state via check or ACH transfer from the OTCC. </w:t>
            </w:r>
          </w:p>
        </w:tc>
      </w:tr>
      <w:tr w:rsidR="00295AE9" w14:paraId="1703D329" w14:textId="77777777" w:rsidTr="004E5F1F">
        <w:trPr>
          <w:trHeight w:val="1151"/>
        </w:trPr>
        <w:tc>
          <w:tcPr>
            <w:tcW w:w="9350" w:type="dxa"/>
            <w:gridSpan w:val="2"/>
          </w:tcPr>
          <w:p w14:paraId="0E66C0EC" w14:textId="43AAB819" w:rsidR="00295AE9" w:rsidRPr="004E5F1F" w:rsidRDefault="00295AE9" w:rsidP="004E5F1F">
            <w:r>
              <w:rPr>
                <w:b/>
                <w:bCs/>
              </w:rPr>
              <w:t>Policy</w:t>
            </w:r>
            <w:r w:rsidR="003D0E4E">
              <w:rPr>
                <w:b/>
                <w:bCs/>
              </w:rPr>
              <w:t xml:space="preserve"> Statement</w:t>
            </w:r>
            <w:r>
              <w:rPr>
                <w:b/>
                <w:bCs/>
              </w:rPr>
              <w:t>:</w:t>
            </w:r>
            <w:r>
              <w:rPr>
                <w:b/>
                <w:bCs/>
              </w:rPr>
              <w:br/>
            </w:r>
            <w:r w:rsidR="004E5F1F">
              <w:t xml:space="preserve">In accordance with the OTC Commission’s rules and procedures, </w:t>
            </w:r>
            <w:r w:rsidR="0021292F">
              <w:t xml:space="preserve">the OTCC shall remit 100 percent (100%) of the State Fee to each state for which it collected state fees. </w:t>
            </w:r>
          </w:p>
        </w:tc>
      </w:tr>
      <w:tr w:rsidR="0021292F" w14:paraId="71B4B560" w14:textId="77777777" w:rsidTr="00B26AA2">
        <w:tc>
          <w:tcPr>
            <w:tcW w:w="9350" w:type="dxa"/>
            <w:gridSpan w:val="2"/>
          </w:tcPr>
          <w:p w14:paraId="3B1F73FB" w14:textId="77777777" w:rsidR="0021292F" w:rsidRDefault="0021292F" w:rsidP="0021292F">
            <w:pPr>
              <w:rPr>
                <w:b/>
                <w:bCs/>
              </w:rPr>
            </w:pPr>
            <w:r>
              <w:rPr>
                <w:b/>
                <w:bCs/>
              </w:rPr>
              <w:t>Policy:</w:t>
            </w:r>
          </w:p>
          <w:p w14:paraId="2156BB09" w14:textId="77777777" w:rsidR="0021292F" w:rsidRPr="0021292F" w:rsidRDefault="0021292F" w:rsidP="0021292F">
            <w:pPr>
              <w:rPr>
                <w:b/>
                <w:bCs/>
                <w:u w:val="single"/>
              </w:rPr>
            </w:pPr>
            <w:r w:rsidRPr="0021292F">
              <w:rPr>
                <w:b/>
                <w:bCs/>
                <w:u w:val="single"/>
              </w:rPr>
              <w:t>Overview</w:t>
            </w:r>
          </w:p>
          <w:p w14:paraId="690E0F40" w14:textId="77777777" w:rsidR="0021292F" w:rsidRPr="0021292F" w:rsidRDefault="0021292F" w:rsidP="0021292F">
            <w:pPr>
              <w:pStyle w:val="ListParagraph"/>
              <w:numPr>
                <w:ilvl w:val="0"/>
                <w:numId w:val="5"/>
              </w:numPr>
              <w:spacing w:after="0" w:line="240" w:lineRule="auto"/>
              <w:rPr>
                <w:sz w:val="22"/>
                <w:szCs w:val="22"/>
              </w:rPr>
            </w:pPr>
            <w:r w:rsidRPr="0021292F">
              <w:rPr>
                <w:sz w:val="22"/>
                <w:szCs w:val="22"/>
              </w:rPr>
              <w:t>All transactions are settled the day following their purchase.</w:t>
            </w:r>
          </w:p>
          <w:p w14:paraId="2DC211A6" w14:textId="5A24B559" w:rsidR="0021292F" w:rsidRPr="0021292F" w:rsidRDefault="0021292F" w:rsidP="0021292F">
            <w:pPr>
              <w:pStyle w:val="ListParagraph"/>
              <w:numPr>
                <w:ilvl w:val="0"/>
                <w:numId w:val="5"/>
              </w:numPr>
              <w:spacing w:after="0" w:line="240" w:lineRule="auto"/>
              <w:rPr>
                <w:sz w:val="22"/>
                <w:szCs w:val="22"/>
              </w:rPr>
            </w:pPr>
            <w:r w:rsidRPr="0021292F">
              <w:rPr>
                <w:sz w:val="22"/>
                <w:szCs w:val="22"/>
              </w:rPr>
              <w:t xml:space="preserve">Settled transactions are those that have been batched and paid in </w:t>
            </w:r>
            <w:r w:rsidR="008013C4">
              <w:rPr>
                <w:sz w:val="22"/>
                <w:szCs w:val="22"/>
              </w:rPr>
              <w:t xml:space="preserve">the credit card processing vendor (ex: </w:t>
            </w:r>
            <w:r w:rsidRPr="0021292F">
              <w:rPr>
                <w:sz w:val="22"/>
                <w:szCs w:val="22"/>
              </w:rPr>
              <w:t>Authorize.net</w:t>
            </w:r>
            <w:r w:rsidR="008013C4">
              <w:rPr>
                <w:sz w:val="22"/>
                <w:szCs w:val="22"/>
              </w:rPr>
              <w:t>)</w:t>
            </w:r>
            <w:r w:rsidRPr="0021292F">
              <w:rPr>
                <w:sz w:val="22"/>
                <w:szCs w:val="22"/>
              </w:rPr>
              <w:t xml:space="preserve"> daily transaction.</w:t>
            </w:r>
          </w:p>
          <w:p w14:paraId="54705C3A" w14:textId="77777777" w:rsidR="0021292F" w:rsidRPr="0021292F" w:rsidRDefault="0021292F" w:rsidP="0021292F">
            <w:pPr>
              <w:pStyle w:val="ListParagraph"/>
              <w:numPr>
                <w:ilvl w:val="0"/>
                <w:numId w:val="5"/>
              </w:numPr>
              <w:spacing w:after="0" w:line="240" w:lineRule="auto"/>
              <w:rPr>
                <w:sz w:val="22"/>
                <w:szCs w:val="22"/>
              </w:rPr>
            </w:pPr>
            <w:r w:rsidRPr="0021292F">
              <w:rPr>
                <w:sz w:val="22"/>
                <w:szCs w:val="22"/>
              </w:rPr>
              <w:t>Weekly Reports include transactions purchased from Friday through Thursday and settled in CompactConnect from Saturday through Friday.</w:t>
            </w:r>
          </w:p>
          <w:p w14:paraId="0AD9F9D8" w14:textId="77777777" w:rsidR="0021292F" w:rsidRPr="0021292F" w:rsidRDefault="0021292F" w:rsidP="0021292F">
            <w:pPr>
              <w:pStyle w:val="ListParagraph"/>
              <w:numPr>
                <w:ilvl w:val="0"/>
                <w:numId w:val="5"/>
              </w:numPr>
              <w:spacing w:after="0" w:line="240" w:lineRule="auto"/>
              <w:rPr>
                <w:sz w:val="22"/>
                <w:szCs w:val="22"/>
              </w:rPr>
            </w:pPr>
            <w:r w:rsidRPr="0021292F">
              <w:rPr>
                <w:sz w:val="22"/>
                <w:szCs w:val="22"/>
              </w:rPr>
              <w:t>Monthly Reports include transactions settled from the first to the last day of the month. These may include purchases made on the last day of the previous month through the next-to-last day of the current month.</w:t>
            </w:r>
          </w:p>
          <w:p w14:paraId="4BC3046C" w14:textId="77777777" w:rsidR="0021292F" w:rsidRPr="0021292F" w:rsidRDefault="0021292F" w:rsidP="0021292F">
            <w:pPr>
              <w:pStyle w:val="ListParagraph"/>
              <w:numPr>
                <w:ilvl w:val="1"/>
                <w:numId w:val="5"/>
              </w:numPr>
              <w:spacing w:after="0" w:line="240" w:lineRule="auto"/>
              <w:rPr>
                <w:sz w:val="22"/>
                <w:szCs w:val="22"/>
              </w:rPr>
            </w:pPr>
            <w:r w:rsidRPr="0021292F">
              <w:rPr>
                <w:sz w:val="22"/>
                <w:szCs w:val="22"/>
              </w:rPr>
              <w:t>Example: A report for October would include transactions settled between October 1 and October 31, with purchases made between September 30 and October 30.</w:t>
            </w:r>
          </w:p>
          <w:p w14:paraId="51EF88A1" w14:textId="758D60AF" w:rsidR="0021292F" w:rsidRDefault="0021292F" w:rsidP="0021292F">
            <w:pPr>
              <w:pStyle w:val="ListParagraph"/>
              <w:numPr>
                <w:ilvl w:val="0"/>
                <w:numId w:val="5"/>
              </w:numPr>
              <w:spacing w:after="0" w:line="240" w:lineRule="auto"/>
              <w:rPr>
                <w:sz w:val="22"/>
                <w:szCs w:val="22"/>
              </w:rPr>
            </w:pPr>
            <w:r w:rsidRPr="0021292F">
              <w:rPr>
                <w:sz w:val="22"/>
                <w:szCs w:val="22"/>
              </w:rPr>
              <w:t>The Secretariat will maintain an up-to-date list of all states and their designated payment methods (check or ACH).</w:t>
            </w:r>
          </w:p>
          <w:p w14:paraId="4A83B23C" w14:textId="77777777" w:rsidR="0021292F" w:rsidRPr="0021292F" w:rsidRDefault="0021292F" w:rsidP="0021292F"/>
          <w:p w14:paraId="6D596027" w14:textId="77777777" w:rsidR="0021292F" w:rsidRPr="0021292F" w:rsidRDefault="0021292F" w:rsidP="0021292F">
            <w:pPr>
              <w:rPr>
                <w:b/>
                <w:bCs/>
                <w:u w:val="single"/>
              </w:rPr>
            </w:pPr>
            <w:r w:rsidRPr="0021292F">
              <w:rPr>
                <w:b/>
                <w:bCs/>
                <w:u w:val="single"/>
              </w:rPr>
              <w:t>Reconciliation of Daily Transactions</w:t>
            </w:r>
          </w:p>
          <w:p w14:paraId="18CAA5F1" w14:textId="77777777" w:rsidR="0021292F" w:rsidRPr="0021292F" w:rsidRDefault="0021292F" w:rsidP="0021292F">
            <w:r w:rsidRPr="0021292F">
              <w:t xml:space="preserve">The Executive Director (ED) or their designee shall verify that daily deposits match the settled transaction reports, ensuring that the total deposit aligns exactly with the reported dollar amount.  </w:t>
            </w:r>
          </w:p>
          <w:p w14:paraId="71978F0F" w14:textId="77777777" w:rsidR="0021292F" w:rsidRDefault="0021292F" w:rsidP="0021292F">
            <w:pPr>
              <w:rPr>
                <w:b/>
                <w:bCs/>
              </w:rPr>
            </w:pPr>
          </w:p>
          <w:p w14:paraId="314CC613" w14:textId="7674957B" w:rsidR="0021292F" w:rsidRPr="0021292F" w:rsidRDefault="0021292F" w:rsidP="0021292F">
            <w:pPr>
              <w:rPr>
                <w:u w:val="single"/>
              </w:rPr>
            </w:pPr>
            <w:r w:rsidRPr="0021292F">
              <w:rPr>
                <w:u w:val="single"/>
              </w:rPr>
              <w:t>Weekly Reconciliation</w:t>
            </w:r>
          </w:p>
          <w:p w14:paraId="6957913B" w14:textId="77777777" w:rsidR="0021292F" w:rsidRDefault="0021292F" w:rsidP="0021292F">
            <w:r w:rsidRPr="0021292F">
              <w:t xml:space="preserve">The ED or their </w:t>
            </w:r>
            <w:proofErr w:type="gramStart"/>
            <w:r w:rsidRPr="0021292F">
              <w:t>designee</w:t>
            </w:r>
            <w:proofErr w:type="gramEnd"/>
            <w:r w:rsidRPr="0021292F">
              <w:t xml:space="preserve"> shall confirm that weekly reports accurately reflect the total dollar amount and number of transactions per state, based on the compilation of the verified daily reports.</w:t>
            </w:r>
          </w:p>
          <w:p w14:paraId="77659061" w14:textId="77777777" w:rsidR="0021292F" w:rsidRPr="0021292F" w:rsidRDefault="0021292F" w:rsidP="0021292F"/>
          <w:p w14:paraId="5F6B6577" w14:textId="77777777" w:rsidR="0021292F" w:rsidRPr="0021292F" w:rsidRDefault="0021292F" w:rsidP="0021292F">
            <w:pPr>
              <w:rPr>
                <w:u w:val="single"/>
              </w:rPr>
            </w:pPr>
            <w:r w:rsidRPr="0021292F">
              <w:rPr>
                <w:u w:val="single"/>
              </w:rPr>
              <w:t>Monthly Reconciliation</w:t>
            </w:r>
          </w:p>
          <w:p w14:paraId="145CF557" w14:textId="2A8E0E22" w:rsidR="0021292F" w:rsidRPr="0021292F" w:rsidRDefault="0021292F" w:rsidP="0021292F">
            <w:r w:rsidRPr="0021292F">
              <w:t xml:space="preserve">The ED or their </w:t>
            </w:r>
            <w:proofErr w:type="gramStart"/>
            <w:r w:rsidRPr="0021292F">
              <w:t>designee</w:t>
            </w:r>
            <w:proofErr w:type="gramEnd"/>
            <w:r w:rsidRPr="0021292F">
              <w:t xml:space="preserve"> shall verify that the cumulative totals from the weekly reports match the monthly report, both in total dollar amounts and number of transactions per state.</w:t>
            </w:r>
            <w:r>
              <w:t xml:space="preserve">  </w:t>
            </w:r>
            <w:r w:rsidRPr="0021292F">
              <w:t>Once verification is complete, the ED or designee will prepare a monthly payment summary listing:</w:t>
            </w:r>
          </w:p>
          <w:p w14:paraId="7EFF3C06" w14:textId="77777777" w:rsidR="0021292F" w:rsidRPr="0021292F" w:rsidRDefault="0021292F" w:rsidP="0021292F">
            <w:pPr>
              <w:pStyle w:val="ListParagraph"/>
              <w:numPr>
                <w:ilvl w:val="0"/>
                <w:numId w:val="6"/>
              </w:numPr>
              <w:spacing w:after="0" w:line="240" w:lineRule="auto"/>
              <w:rPr>
                <w:sz w:val="22"/>
                <w:szCs w:val="22"/>
              </w:rPr>
            </w:pPr>
            <w:r w:rsidRPr="0021292F">
              <w:rPr>
                <w:sz w:val="22"/>
                <w:szCs w:val="22"/>
              </w:rPr>
              <w:t>Each state eligible for payment</w:t>
            </w:r>
          </w:p>
          <w:p w14:paraId="791E7627" w14:textId="77777777" w:rsidR="0021292F" w:rsidRPr="0021292F" w:rsidRDefault="0021292F" w:rsidP="0021292F">
            <w:pPr>
              <w:pStyle w:val="ListParagraph"/>
              <w:numPr>
                <w:ilvl w:val="0"/>
                <w:numId w:val="6"/>
              </w:numPr>
              <w:spacing w:after="0" w:line="240" w:lineRule="auto"/>
              <w:rPr>
                <w:sz w:val="22"/>
                <w:szCs w:val="22"/>
              </w:rPr>
            </w:pPr>
            <w:r w:rsidRPr="0021292F">
              <w:rPr>
                <w:sz w:val="22"/>
                <w:szCs w:val="22"/>
              </w:rPr>
              <w:t>The number of privileges settled in that state during the previous calendar month</w:t>
            </w:r>
          </w:p>
          <w:p w14:paraId="0CEABAD5" w14:textId="17C4EF56" w:rsidR="0021292F" w:rsidRPr="0021292F" w:rsidRDefault="0021292F" w:rsidP="0021292F">
            <w:pPr>
              <w:pStyle w:val="ListParagraph"/>
              <w:numPr>
                <w:ilvl w:val="0"/>
                <w:numId w:val="6"/>
              </w:numPr>
              <w:spacing w:after="0" w:line="240" w:lineRule="auto"/>
              <w:rPr>
                <w:sz w:val="22"/>
                <w:szCs w:val="22"/>
              </w:rPr>
            </w:pPr>
            <w:r w:rsidRPr="0021292F">
              <w:rPr>
                <w:sz w:val="22"/>
                <w:szCs w:val="22"/>
              </w:rPr>
              <w:t>The corresponding dollar amount to be disbursed</w:t>
            </w:r>
          </w:p>
          <w:p w14:paraId="240E2BE9" w14:textId="77777777" w:rsidR="0021292F" w:rsidRPr="0021292F" w:rsidRDefault="0021292F" w:rsidP="0021292F">
            <w:r w:rsidRPr="0021292F">
              <w:t>This summary, along with the monthly statement, shall be emailed to the Treasurer for review.</w:t>
            </w:r>
          </w:p>
          <w:p w14:paraId="4EB75BC4" w14:textId="77777777" w:rsidR="0021292F" w:rsidRDefault="0021292F" w:rsidP="0021292F">
            <w:r w:rsidRPr="0021292F">
              <w:t>Supporting documentation of approved payments will be maintained by the Secretariat for a period of at least seven (7) years.</w:t>
            </w:r>
          </w:p>
          <w:p w14:paraId="1E11A568" w14:textId="77777777" w:rsidR="0021292F" w:rsidRPr="0021292F" w:rsidRDefault="0021292F" w:rsidP="0021292F"/>
          <w:p w14:paraId="60A5D598" w14:textId="77777777" w:rsidR="0021292F" w:rsidRDefault="0021292F" w:rsidP="0021292F">
            <w:pPr>
              <w:rPr>
                <w:b/>
                <w:bCs/>
              </w:rPr>
            </w:pPr>
          </w:p>
          <w:p w14:paraId="7C394CAB" w14:textId="77777777" w:rsidR="0021292F" w:rsidRDefault="0021292F" w:rsidP="0021292F">
            <w:pPr>
              <w:rPr>
                <w:b/>
                <w:bCs/>
              </w:rPr>
            </w:pPr>
          </w:p>
          <w:p w14:paraId="16410404" w14:textId="3D3F46F7" w:rsidR="0021292F" w:rsidRPr="0021292F" w:rsidRDefault="0021292F" w:rsidP="0021292F">
            <w:pPr>
              <w:rPr>
                <w:b/>
                <w:bCs/>
                <w:u w:val="single"/>
              </w:rPr>
            </w:pPr>
            <w:r w:rsidRPr="0021292F">
              <w:rPr>
                <w:b/>
                <w:bCs/>
                <w:u w:val="single"/>
              </w:rPr>
              <w:lastRenderedPageBreak/>
              <w:t>Treasurer Review and Payment Authorization</w:t>
            </w:r>
          </w:p>
          <w:p w14:paraId="3DDDA8DE" w14:textId="77777777" w:rsidR="0021292F" w:rsidRPr="0021292F" w:rsidRDefault="0021292F" w:rsidP="0021292F">
            <w:pPr>
              <w:pStyle w:val="ListParagraph"/>
              <w:numPr>
                <w:ilvl w:val="0"/>
                <w:numId w:val="7"/>
              </w:numPr>
              <w:spacing w:after="0" w:line="240" w:lineRule="auto"/>
              <w:rPr>
                <w:sz w:val="22"/>
                <w:szCs w:val="22"/>
              </w:rPr>
            </w:pPr>
            <w:r w:rsidRPr="0021292F">
              <w:rPr>
                <w:sz w:val="22"/>
                <w:szCs w:val="22"/>
              </w:rPr>
              <w:t>The Treasurer shall review the monthly payment summary and email either approval or questions back to the ED.</w:t>
            </w:r>
          </w:p>
          <w:p w14:paraId="720B6C6F" w14:textId="77777777" w:rsidR="0021292F" w:rsidRPr="0021292F" w:rsidRDefault="0021292F" w:rsidP="0021292F">
            <w:pPr>
              <w:pStyle w:val="ListParagraph"/>
              <w:numPr>
                <w:ilvl w:val="0"/>
                <w:numId w:val="7"/>
              </w:numPr>
              <w:spacing w:after="0" w:line="240" w:lineRule="auto"/>
              <w:rPr>
                <w:sz w:val="22"/>
                <w:szCs w:val="22"/>
              </w:rPr>
            </w:pPr>
            <w:r w:rsidRPr="0021292F">
              <w:rPr>
                <w:sz w:val="22"/>
                <w:szCs w:val="22"/>
              </w:rPr>
              <w:t>Payments approved by the Treasurer shall be issued by the Secretariat via check or ACH transfer.</w:t>
            </w:r>
          </w:p>
          <w:p w14:paraId="2A468536" w14:textId="77777777" w:rsidR="0021292F" w:rsidRPr="0021292F" w:rsidRDefault="0021292F" w:rsidP="0021292F">
            <w:pPr>
              <w:pStyle w:val="ListParagraph"/>
              <w:numPr>
                <w:ilvl w:val="0"/>
                <w:numId w:val="7"/>
              </w:numPr>
              <w:spacing w:after="0" w:line="240" w:lineRule="auto"/>
              <w:rPr>
                <w:sz w:val="22"/>
                <w:szCs w:val="22"/>
              </w:rPr>
            </w:pPr>
            <w:r w:rsidRPr="0021292F">
              <w:rPr>
                <w:sz w:val="22"/>
                <w:szCs w:val="22"/>
              </w:rPr>
              <w:t>If approval is received after the 15th, payments must be issued within two business days.</w:t>
            </w:r>
          </w:p>
          <w:p w14:paraId="111CE8B9" w14:textId="77777777" w:rsidR="0021292F" w:rsidRPr="0021292F" w:rsidRDefault="0021292F" w:rsidP="0021292F">
            <w:pPr>
              <w:pStyle w:val="ListParagraph"/>
              <w:numPr>
                <w:ilvl w:val="0"/>
                <w:numId w:val="7"/>
              </w:numPr>
              <w:spacing w:after="0" w:line="240" w:lineRule="auto"/>
              <w:rPr>
                <w:sz w:val="22"/>
                <w:szCs w:val="22"/>
              </w:rPr>
            </w:pPr>
            <w:r w:rsidRPr="0021292F">
              <w:rPr>
                <w:sz w:val="22"/>
                <w:szCs w:val="22"/>
              </w:rPr>
              <w:t>Any questions from the Treasurer should be addressed within one business day to ensure timely disbursement.</w:t>
            </w:r>
          </w:p>
          <w:p w14:paraId="52FDB205" w14:textId="77777777" w:rsidR="0021292F" w:rsidRPr="0021292F" w:rsidRDefault="0021292F" w:rsidP="0021292F">
            <w:pPr>
              <w:pStyle w:val="ListParagraph"/>
              <w:numPr>
                <w:ilvl w:val="0"/>
                <w:numId w:val="7"/>
              </w:numPr>
              <w:spacing w:after="0" w:line="240" w:lineRule="auto"/>
              <w:rPr>
                <w:sz w:val="22"/>
                <w:szCs w:val="22"/>
              </w:rPr>
            </w:pPr>
            <w:r w:rsidRPr="0021292F">
              <w:rPr>
                <w:sz w:val="22"/>
                <w:szCs w:val="22"/>
              </w:rPr>
              <w:t xml:space="preserve">The Treasurer’s written approval must be shared with both the ED and the Secretariat staff </w:t>
            </w:r>
            <w:proofErr w:type="gramStart"/>
            <w:r w:rsidRPr="0021292F">
              <w:rPr>
                <w:sz w:val="22"/>
                <w:szCs w:val="22"/>
              </w:rPr>
              <w:t>member(</w:t>
            </w:r>
            <w:proofErr w:type="gramEnd"/>
            <w:r w:rsidRPr="0021292F">
              <w:rPr>
                <w:sz w:val="22"/>
                <w:szCs w:val="22"/>
              </w:rPr>
              <w:t>s) responsible for processing payments.</w:t>
            </w:r>
          </w:p>
          <w:p w14:paraId="5AA1B63C" w14:textId="27967B1C" w:rsidR="0021292F" w:rsidRPr="0021292F" w:rsidRDefault="0021292F" w:rsidP="0021292F">
            <w:pPr>
              <w:pStyle w:val="ListParagraph"/>
              <w:numPr>
                <w:ilvl w:val="0"/>
                <w:numId w:val="7"/>
              </w:numPr>
              <w:spacing w:after="0" w:line="240" w:lineRule="auto"/>
              <w:rPr>
                <w:sz w:val="22"/>
                <w:szCs w:val="22"/>
              </w:rPr>
            </w:pPr>
            <w:r w:rsidRPr="0021292F">
              <w:rPr>
                <w:sz w:val="22"/>
                <w:szCs w:val="22"/>
              </w:rPr>
              <w:t xml:space="preserve">Verification shall be completed by a staff member independent </w:t>
            </w:r>
            <w:proofErr w:type="gramStart"/>
            <w:r w:rsidRPr="0021292F">
              <w:rPr>
                <w:sz w:val="22"/>
                <w:szCs w:val="22"/>
              </w:rPr>
              <w:t>from</w:t>
            </w:r>
            <w:proofErr w:type="gramEnd"/>
            <w:r w:rsidRPr="0021292F">
              <w:rPr>
                <w:sz w:val="22"/>
                <w:szCs w:val="22"/>
              </w:rPr>
              <w:t xml:space="preserve"> the person responsible for initiating payments whenever possible.</w:t>
            </w:r>
          </w:p>
          <w:p w14:paraId="5F4CCE63" w14:textId="77777777" w:rsidR="0021292F" w:rsidRDefault="0021292F" w:rsidP="0021292F">
            <w:pPr>
              <w:rPr>
                <w:b/>
                <w:bCs/>
              </w:rPr>
            </w:pPr>
          </w:p>
          <w:p w14:paraId="08D9060D" w14:textId="3F6D4DC1" w:rsidR="0021292F" w:rsidRPr="0021292F" w:rsidRDefault="0021292F" w:rsidP="0021292F">
            <w:pPr>
              <w:rPr>
                <w:b/>
                <w:bCs/>
                <w:u w:val="single"/>
              </w:rPr>
            </w:pPr>
            <w:r w:rsidRPr="0021292F">
              <w:rPr>
                <w:b/>
                <w:bCs/>
                <w:u w:val="single"/>
              </w:rPr>
              <w:t>Payment Processing</w:t>
            </w:r>
          </w:p>
          <w:p w14:paraId="08C9C391" w14:textId="72839F31" w:rsidR="0021292F" w:rsidRPr="0021292F" w:rsidRDefault="0021292F" w:rsidP="0021292F">
            <w:r w:rsidRPr="0021292F">
              <w:t>Upon receiving approval</w:t>
            </w:r>
            <w:r>
              <w:t xml:space="preserve"> from the Treasurer, the Secretariat will</w:t>
            </w:r>
            <w:r w:rsidRPr="0021292F">
              <w:t>:</w:t>
            </w:r>
          </w:p>
          <w:p w14:paraId="45B38CE9" w14:textId="77777777" w:rsidR="0021292F" w:rsidRPr="0021292F" w:rsidRDefault="0021292F" w:rsidP="0021292F">
            <w:pPr>
              <w:pStyle w:val="ListParagraph"/>
              <w:numPr>
                <w:ilvl w:val="0"/>
                <w:numId w:val="8"/>
              </w:numPr>
              <w:spacing w:after="0" w:line="240" w:lineRule="auto"/>
              <w:rPr>
                <w:sz w:val="22"/>
                <w:szCs w:val="22"/>
              </w:rPr>
            </w:pPr>
            <w:r w:rsidRPr="0021292F">
              <w:rPr>
                <w:sz w:val="22"/>
                <w:szCs w:val="22"/>
              </w:rPr>
              <w:t>Starting on the 15th of each month, initiate payment for approved transactions via check or ACH transfer within two business days.</w:t>
            </w:r>
          </w:p>
          <w:p w14:paraId="6DF2FC30" w14:textId="6D5735B0" w:rsidR="0021292F" w:rsidRPr="0021292F" w:rsidRDefault="0021292F" w:rsidP="0021292F">
            <w:pPr>
              <w:pStyle w:val="ListParagraph"/>
              <w:numPr>
                <w:ilvl w:val="1"/>
                <w:numId w:val="8"/>
              </w:numPr>
              <w:spacing w:after="0" w:line="240" w:lineRule="auto"/>
              <w:rPr>
                <w:sz w:val="22"/>
                <w:szCs w:val="22"/>
              </w:rPr>
            </w:pPr>
            <w:r w:rsidRPr="0021292F">
              <w:rPr>
                <w:sz w:val="22"/>
                <w:szCs w:val="22"/>
              </w:rPr>
              <w:t xml:space="preserve">The payment shall clearly indicate the month the payment </w:t>
            </w:r>
            <w:proofErr w:type="gramStart"/>
            <w:r w:rsidRPr="0021292F">
              <w:rPr>
                <w:sz w:val="22"/>
                <w:szCs w:val="22"/>
              </w:rPr>
              <w:t>covers</w:t>
            </w:r>
            <w:proofErr w:type="gramEnd"/>
            <w:r w:rsidRPr="0021292F">
              <w:rPr>
                <w:sz w:val="22"/>
                <w:szCs w:val="22"/>
              </w:rPr>
              <w:t xml:space="preserve"> and any </w:t>
            </w:r>
            <w:proofErr w:type="gramStart"/>
            <w:r w:rsidRPr="0021292F">
              <w:rPr>
                <w:sz w:val="22"/>
                <w:szCs w:val="22"/>
              </w:rPr>
              <w:t>memo information</w:t>
            </w:r>
            <w:proofErr w:type="gramEnd"/>
            <w:r w:rsidRPr="0021292F">
              <w:rPr>
                <w:sz w:val="22"/>
                <w:szCs w:val="22"/>
              </w:rPr>
              <w:t xml:space="preserve"> required by the receiving state. </w:t>
            </w:r>
          </w:p>
          <w:p w14:paraId="1DC1AB96" w14:textId="62A94626" w:rsidR="0021292F" w:rsidRPr="0021292F" w:rsidRDefault="0021292F" w:rsidP="0021292F">
            <w:pPr>
              <w:pStyle w:val="ListParagraph"/>
              <w:numPr>
                <w:ilvl w:val="0"/>
                <w:numId w:val="8"/>
              </w:numPr>
              <w:spacing w:after="0" w:line="240" w:lineRule="auto"/>
              <w:rPr>
                <w:sz w:val="22"/>
                <w:szCs w:val="22"/>
              </w:rPr>
            </w:pPr>
            <w:r w:rsidRPr="0021292F">
              <w:rPr>
                <w:sz w:val="22"/>
                <w:szCs w:val="22"/>
              </w:rPr>
              <w:t>P</w:t>
            </w:r>
            <w:r w:rsidRPr="0021292F">
              <w:rPr>
                <w:sz w:val="22"/>
                <w:szCs w:val="22"/>
              </w:rPr>
              <w:t>rovide the OTCC via the ED with a list of all payments issued, including:</w:t>
            </w:r>
          </w:p>
          <w:p w14:paraId="014B2FF8" w14:textId="77777777" w:rsidR="0021292F" w:rsidRPr="0021292F" w:rsidRDefault="0021292F" w:rsidP="0021292F">
            <w:pPr>
              <w:pStyle w:val="ListParagraph"/>
              <w:numPr>
                <w:ilvl w:val="1"/>
                <w:numId w:val="8"/>
              </w:numPr>
              <w:spacing w:after="0" w:line="240" w:lineRule="auto"/>
              <w:rPr>
                <w:sz w:val="22"/>
                <w:szCs w:val="22"/>
              </w:rPr>
            </w:pPr>
            <w:r w:rsidRPr="0021292F">
              <w:rPr>
                <w:sz w:val="22"/>
                <w:szCs w:val="22"/>
              </w:rPr>
              <w:t>State name</w:t>
            </w:r>
          </w:p>
          <w:p w14:paraId="4366E4C8" w14:textId="77777777" w:rsidR="0021292F" w:rsidRPr="0021292F" w:rsidRDefault="0021292F" w:rsidP="0021292F">
            <w:pPr>
              <w:pStyle w:val="ListParagraph"/>
              <w:numPr>
                <w:ilvl w:val="1"/>
                <w:numId w:val="8"/>
              </w:numPr>
              <w:spacing w:after="0" w:line="240" w:lineRule="auto"/>
              <w:rPr>
                <w:sz w:val="22"/>
                <w:szCs w:val="22"/>
              </w:rPr>
            </w:pPr>
            <w:r w:rsidRPr="0021292F">
              <w:rPr>
                <w:sz w:val="22"/>
                <w:szCs w:val="22"/>
              </w:rPr>
              <w:t>Date of issuance</w:t>
            </w:r>
          </w:p>
          <w:p w14:paraId="06FF62B9" w14:textId="634AB0A0" w:rsidR="0021292F" w:rsidRPr="0021292F" w:rsidRDefault="0021292F" w:rsidP="0021292F">
            <w:pPr>
              <w:pStyle w:val="ListParagraph"/>
              <w:numPr>
                <w:ilvl w:val="1"/>
                <w:numId w:val="8"/>
              </w:numPr>
              <w:spacing w:after="0" w:line="240" w:lineRule="auto"/>
              <w:rPr>
                <w:sz w:val="22"/>
                <w:szCs w:val="22"/>
              </w:rPr>
            </w:pPr>
            <w:r w:rsidRPr="0021292F">
              <w:rPr>
                <w:sz w:val="22"/>
                <w:szCs w:val="22"/>
              </w:rPr>
              <w:t>Check number (or ACH confirmation date)</w:t>
            </w:r>
          </w:p>
          <w:p w14:paraId="639B5A50" w14:textId="77777777" w:rsidR="0021292F" w:rsidRDefault="0021292F" w:rsidP="0021292F"/>
          <w:p w14:paraId="0E7AFE12" w14:textId="0F3E49A1" w:rsidR="0021292F" w:rsidRPr="0021292F" w:rsidRDefault="0021292F" w:rsidP="0021292F">
            <w:pPr>
              <w:rPr>
                <w:b/>
                <w:bCs/>
                <w:u w:val="single"/>
              </w:rPr>
            </w:pPr>
            <w:r w:rsidRPr="0021292F">
              <w:rPr>
                <w:b/>
                <w:bCs/>
                <w:u w:val="single"/>
              </w:rPr>
              <w:t>Reporting to States</w:t>
            </w:r>
          </w:p>
          <w:p w14:paraId="1F71A81F" w14:textId="75FC0CC5" w:rsidR="0021292F" w:rsidRPr="0021292F" w:rsidRDefault="0021292F" w:rsidP="0021292F">
            <w:r w:rsidRPr="0021292F">
              <w:t xml:space="preserve">The </w:t>
            </w:r>
            <w:r>
              <w:t>OTCC via the Secretariat</w:t>
            </w:r>
            <w:r w:rsidRPr="0021292F">
              <w:t xml:space="preserve"> shall send each state a monthly report summarizing all privileges issued during the prior month. This report will include:</w:t>
            </w:r>
          </w:p>
          <w:p w14:paraId="39E12071" w14:textId="77777777" w:rsidR="0021292F" w:rsidRPr="0021292F" w:rsidRDefault="0021292F" w:rsidP="0021292F">
            <w:pPr>
              <w:pStyle w:val="ListParagraph"/>
              <w:numPr>
                <w:ilvl w:val="0"/>
                <w:numId w:val="9"/>
              </w:numPr>
              <w:spacing w:after="0" w:line="240" w:lineRule="auto"/>
              <w:rPr>
                <w:sz w:val="22"/>
                <w:szCs w:val="22"/>
              </w:rPr>
            </w:pPr>
            <w:r w:rsidRPr="0021292F">
              <w:rPr>
                <w:sz w:val="22"/>
                <w:szCs w:val="22"/>
              </w:rPr>
              <w:t>A list of each individual transaction</w:t>
            </w:r>
          </w:p>
          <w:p w14:paraId="0685C3A1" w14:textId="77777777" w:rsidR="0021292F" w:rsidRPr="0021292F" w:rsidRDefault="0021292F" w:rsidP="0021292F">
            <w:pPr>
              <w:pStyle w:val="ListParagraph"/>
              <w:numPr>
                <w:ilvl w:val="0"/>
                <w:numId w:val="9"/>
              </w:numPr>
              <w:spacing w:after="0" w:line="240" w:lineRule="auto"/>
              <w:rPr>
                <w:sz w:val="22"/>
                <w:szCs w:val="22"/>
              </w:rPr>
            </w:pPr>
            <w:r w:rsidRPr="0021292F">
              <w:rPr>
                <w:sz w:val="22"/>
                <w:szCs w:val="22"/>
              </w:rPr>
              <w:t>The total amount paid to the state</w:t>
            </w:r>
          </w:p>
          <w:p w14:paraId="11F4A6EE" w14:textId="16599A6B" w:rsidR="0021292F" w:rsidRPr="0021292F" w:rsidRDefault="0021292F" w:rsidP="0021292F">
            <w:pPr>
              <w:pStyle w:val="ListParagraph"/>
              <w:numPr>
                <w:ilvl w:val="0"/>
                <w:numId w:val="9"/>
              </w:numPr>
              <w:spacing w:after="0" w:line="240" w:lineRule="auto"/>
            </w:pPr>
            <w:r w:rsidRPr="0021292F">
              <w:rPr>
                <w:sz w:val="22"/>
                <w:szCs w:val="22"/>
              </w:rPr>
              <w:t>The date and number of the check, or the date of the ACH transaction</w:t>
            </w:r>
          </w:p>
        </w:tc>
      </w:tr>
      <w:tr w:rsidR="004E5F1F" w14:paraId="3FAE6850" w14:textId="77777777" w:rsidTr="001707AD">
        <w:tc>
          <w:tcPr>
            <w:tcW w:w="9350" w:type="dxa"/>
            <w:gridSpan w:val="2"/>
          </w:tcPr>
          <w:p w14:paraId="2E3F8E04" w14:textId="77777777" w:rsidR="004E5F1F" w:rsidRDefault="004E5F1F" w:rsidP="004E5F1F">
            <w:pPr>
              <w:rPr>
                <w:b/>
                <w:bCs/>
              </w:rPr>
            </w:pPr>
            <w:r>
              <w:rPr>
                <w:b/>
                <w:bCs/>
              </w:rPr>
              <w:lastRenderedPageBreak/>
              <w:t>Policy Review:</w:t>
            </w:r>
          </w:p>
          <w:p w14:paraId="5ADBDCB1" w14:textId="2BCE4F31" w:rsidR="004E5F1F" w:rsidRDefault="004E5F1F" w:rsidP="004E5F1F">
            <w:pPr>
              <w:rPr>
                <w:b/>
                <w:bCs/>
              </w:rPr>
            </w:pPr>
            <w:r>
              <w:t xml:space="preserve">This policy will be reviewed annually to ensure its relevance and effectiveness. Any updates or changes to the policy will be communicated to all </w:t>
            </w:r>
            <w:r w:rsidR="008013C4">
              <w:t>OTCC Commissioners</w:t>
            </w:r>
            <w:r>
              <w:t xml:space="preserve"> and staff.</w:t>
            </w:r>
          </w:p>
        </w:tc>
      </w:tr>
    </w:tbl>
    <w:p w14:paraId="6702E5F3" w14:textId="5780BBFD" w:rsidR="001525BA" w:rsidRDefault="001525BA"/>
    <w:tbl>
      <w:tblPr>
        <w:tblStyle w:val="TableGrid"/>
        <w:tblW w:w="0" w:type="auto"/>
        <w:tblLook w:val="04A0" w:firstRow="1" w:lastRow="0" w:firstColumn="1" w:lastColumn="0" w:noHBand="0" w:noVBand="1"/>
      </w:tblPr>
      <w:tblGrid>
        <w:gridCol w:w="2448"/>
        <w:gridCol w:w="2374"/>
        <w:gridCol w:w="2264"/>
        <w:gridCol w:w="2264"/>
      </w:tblGrid>
      <w:tr w:rsidR="00EB0A29" w:rsidRPr="00142364" w14:paraId="1C2801DD" w14:textId="77777777" w:rsidTr="00270A62">
        <w:tc>
          <w:tcPr>
            <w:tcW w:w="9350" w:type="dxa"/>
            <w:gridSpan w:val="4"/>
            <w:shd w:val="clear" w:color="auto" w:fill="F2F2F2" w:themeFill="background1" w:themeFillShade="F2"/>
          </w:tcPr>
          <w:p w14:paraId="55B1AC33" w14:textId="3126308A" w:rsidR="00EB0A29" w:rsidRPr="00142364" w:rsidRDefault="00270A62" w:rsidP="00270A62">
            <w:pPr>
              <w:rPr>
                <w:sz w:val="16"/>
                <w:szCs w:val="16"/>
              </w:rPr>
            </w:pPr>
            <w:r w:rsidRPr="00142364">
              <w:rPr>
                <w:sz w:val="16"/>
                <w:szCs w:val="16"/>
              </w:rPr>
              <w:t xml:space="preserve">This policy was originally drafted by the OTCC </w:t>
            </w:r>
            <w:r w:rsidR="004E5F1F" w:rsidRPr="00142364">
              <w:rPr>
                <w:sz w:val="16"/>
                <w:szCs w:val="16"/>
              </w:rPr>
              <w:t>Executive</w:t>
            </w:r>
            <w:r w:rsidRPr="00142364">
              <w:rPr>
                <w:sz w:val="16"/>
                <w:szCs w:val="16"/>
              </w:rPr>
              <w:t xml:space="preserve"> Committee </w:t>
            </w:r>
            <w:r w:rsidR="001816F6" w:rsidRPr="00142364">
              <w:rPr>
                <w:sz w:val="16"/>
                <w:szCs w:val="16"/>
              </w:rPr>
              <w:t xml:space="preserve">in </w:t>
            </w:r>
            <w:r w:rsidR="008013C4">
              <w:rPr>
                <w:sz w:val="16"/>
                <w:szCs w:val="16"/>
              </w:rPr>
              <w:t>January 2026</w:t>
            </w:r>
            <w:r w:rsidRPr="00142364">
              <w:rPr>
                <w:sz w:val="16"/>
                <w:szCs w:val="16"/>
              </w:rPr>
              <w:t xml:space="preserve">.  It </w:t>
            </w:r>
            <w:r w:rsidR="0090725D" w:rsidRPr="00142364">
              <w:rPr>
                <w:sz w:val="16"/>
                <w:szCs w:val="16"/>
              </w:rPr>
              <w:t xml:space="preserve">originally </w:t>
            </w:r>
            <w:r w:rsidRPr="00142364">
              <w:rPr>
                <w:sz w:val="16"/>
                <w:szCs w:val="16"/>
              </w:rPr>
              <w:t xml:space="preserve">became effective on </w:t>
            </w:r>
            <w:r w:rsidR="008013C4">
              <w:rPr>
                <w:sz w:val="16"/>
                <w:szCs w:val="16"/>
              </w:rPr>
              <w:t>January 12, 2026</w:t>
            </w:r>
            <w:r w:rsidRPr="00142364">
              <w:rPr>
                <w:sz w:val="16"/>
                <w:szCs w:val="16"/>
              </w:rPr>
              <w:t>.</w:t>
            </w:r>
          </w:p>
        </w:tc>
      </w:tr>
      <w:tr w:rsidR="00EB0A29" w:rsidRPr="00142364" w14:paraId="6CE2A715" w14:textId="278F6912" w:rsidTr="00270A62">
        <w:tc>
          <w:tcPr>
            <w:tcW w:w="9350" w:type="dxa"/>
            <w:gridSpan w:val="4"/>
            <w:shd w:val="clear" w:color="auto" w:fill="D9D9D9" w:themeFill="background1" w:themeFillShade="D9"/>
          </w:tcPr>
          <w:p w14:paraId="05CA265D" w14:textId="35EA27B9" w:rsidR="00EB0A29" w:rsidRPr="00142364" w:rsidRDefault="00EB0A29" w:rsidP="00EB0A29">
            <w:pPr>
              <w:jc w:val="center"/>
              <w:rPr>
                <w:b/>
                <w:bCs/>
                <w:sz w:val="16"/>
                <w:szCs w:val="16"/>
              </w:rPr>
            </w:pPr>
            <w:r w:rsidRPr="00142364">
              <w:rPr>
                <w:b/>
                <w:bCs/>
                <w:sz w:val="16"/>
                <w:szCs w:val="16"/>
              </w:rPr>
              <w:t>POLICY REVISION HISTORY</w:t>
            </w:r>
          </w:p>
        </w:tc>
      </w:tr>
      <w:tr w:rsidR="00EB0A29" w:rsidRPr="00142364" w14:paraId="1705D1F0" w14:textId="372E65B9" w:rsidTr="00270A62">
        <w:tc>
          <w:tcPr>
            <w:tcW w:w="2448" w:type="dxa"/>
            <w:shd w:val="clear" w:color="auto" w:fill="D9D9D9" w:themeFill="background1" w:themeFillShade="D9"/>
          </w:tcPr>
          <w:p w14:paraId="4E30C96A" w14:textId="0EE4F480" w:rsidR="00EB0A29" w:rsidRPr="00142364" w:rsidRDefault="00EB0A29" w:rsidP="00142364">
            <w:pPr>
              <w:rPr>
                <w:b/>
                <w:bCs/>
                <w:sz w:val="16"/>
                <w:szCs w:val="16"/>
              </w:rPr>
            </w:pPr>
            <w:r w:rsidRPr="00142364">
              <w:rPr>
                <w:b/>
                <w:bCs/>
                <w:sz w:val="16"/>
                <w:szCs w:val="16"/>
              </w:rPr>
              <w:t>Date of Revision</w:t>
            </w:r>
          </w:p>
        </w:tc>
        <w:tc>
          <w:tcPr>
            <w:tcW w:w="2374" w:type="dxa"/>
            <w:shd w:val="clear" w:color="auto" w:fill="D9D9D9" w:themeFill="background1" w:themeFillShade="D9"/>
          </w:tcPr>
          <w:p w14:paraId="40ABB9DB" w14:textId="5E3EDD9B" w:rsidR="00EB0A29" w:rsidRPr="00142364" w:rsidRDefault="00EB0A29" w:rsidP="00142364">
            <w:pPr>
              <w:rPr>
                <w:b/>
                <w:bCs/>
                <w:sz w:val="16"/>
                <w:szCs w:val="16"/>
              </w:rPr>
            </w:pPr>
            <w:r w:rsidRPr="00142364">
              <w:rPr>
                <w:b/>
                <w:bCs/>
                <w:sz w:val="16"/>
                <w:szCs w:val="16"/>
              </w:rPr>
              <w:t>Revis</w:t>
            </w:r>
            <w:r w:rsidR="00142364" w:rsidRPr="00142364">
              <w:rPr>
                <w:b/>
                <w:bCs/>
                <w:sz w:val="16"/>
                <w:szCs w:val="16"/>
              </w:rPr>
              <w:t>ions completed</w:t>
            </w:r>
            <w:r w:rsidRPr="00142364">
              <w:rPr>
                <w:b/>
                <w:bCs/>
                <w:sz w:val="16"/>
                <w:szCs w:val="16"/>
              </w:rPr>
              <w:t xml:space="preserve"> by (author)</w:t>
            </w:r>
          </w:p>
        </w:tc>
        <w:tc>
          <w:tcPr>
            <w:tcW w:w="2264" w:type="dxa"/>
            <w:shd w:val="clear" w:color="auto" w:fill="D9D9D9" w:themeFill="background1" w:themeFillShade="D9"/>
          </w:tcPr>
          <w:p w14:paraId="0A013CEE" w14:textId="006E05CE" w:rsidR="00EB0A29" w:rsidRPr="00142364" w:rsidRDefault="00EB0A29" w:rsidP="00142364">
            <w:pPr>
              <w:rPr>
                <w:b/>
                <w:bCs/>
                <w:sz w:val="16"/>
                <w:szCs w:val="16"/>
              </w:rPr>
            </w:pPr>
            <w:r w:rsidRPr="00142364">
              <w:rPr>
                <w:b/>
                <w:bCs/>
                <w:sz w:val="16"/>
                <w:szCs w:val="16"/>
              </w:rPr>
              <w:t>Final approval authority</w:t>
            </w:r>
          </w:p>
        </w:tc>
        <w:tc>
          <w:tcPr>
            <w:tcW w:w="2264" w:type="dxa"/>
            <w:shd w:val="clear" w:color="auto" w:fill="D9D9D9" w:themeFill="background1" w:themeFillShade="D9"/>
          </w:tcPr>
          <w:p w14:paraId="20ACA9D2" w14:textId="77777777" w:rsidR="00142364" w:rsidRDefault="00EB0A29" w:rsidP="00142364">
            <w:pPr>
              <w:rPr>
                <w:b/>
                <w:bCs/>
                <w:sz w:val="16"/>
                <w:szCs w:val="16"/>
              </w:rPr>
            </w:pPr>
            <w:r w:rsidRPr="00142364">
              <w:rPr>
                <w:b/>
                <w:bCs/>
                <w:sz w:val="16"/>
                <w:szCs w:val="16"/>
              </w:rPr>
              <w:t xml:space="preserve">Effective Date of </w:t>
            </w:r>
          </w:p>
          <w:p w14:paraId="6C8B3E51" w14:textId="2CC8713B" w:rsidR="00EB0A29" w:rsidRPr="00142364" w:rsidRDefault="00EB0A29" w:rsidP="00142364">
            <w:pPr>
              <w:rPr>
                <w:b/>
                <w:bCs/>
                <w:sz w:val="16"/>
                <w:szCs w:val="16"/>
              </w:rPr>
            </w:pPr>
            <w:r w:rsidRPr="00142364">
              <w:rPr>
                <w:b/>
                <w:bCs/>
                <w:sz w:val="16"/>
                <w:szCs w:val="16"/>
              </w:rPr>
              <w:t>Revised Policy</w:t>
            </w:r>
          </w:p>
        </w:tc>
      </w:tr>
      <w:tr w:rsidR="00EB0A29" w:rsidRPr="00142364" w14:paraId="2023D676" w14:textId="34E28AAF" w:rsidTr="00270A62">
        <w:tc>
          <w:tcPr>
            <w:tcW w:w="2448" w:type="dxa"/>
            <w:shd w:val="clear" w:color="auto" w:fill="F2F2F2" w:themeFill="background1" w:themeFillShade="F2"/>
          </w:tcPr>
          <w:p w14:paraId="5553B3AF" w14:textId="038F2855" w:rsidR="00EB0A29" w:rsidRPr="00142364" w:rsidRDefault="00EB0A29">
            <w:pPr>
              <w:rPr>
                <w:sz w:val="16"/>
                <w:szCs w:val="16"/>
              </w:rPr>
            </w:pPr>
          </w:p>
        </w:tc>
        <w:tc>
          <w:tcPr>
            <w:tcW w:w="2374" w:type="dxa"/>
            <w:shd w:val="clear" w:color="auto" w:fill="F2F2F2" w:themeFill="background1" w:themeFillShade="F2"/>
          </w:tcPr>
          <w:p w14:paraId="07213611" w14:textId="72CB7D34" w:rsidR="00EB0A29" w:rsidRPr="00142364" w:rsidRDefault="00EB0A29">
            <w:pPr>
              <w:rPr>
                <w:sz w:val="16"/>
                <w:szCs w:val="16"/>
              </w:rPr>
            </w:pPr>
          </w:p>
        </w:tc>
        <w:tc>
          <w:tcPr>
            <w:tcW w:w="2264" w:type="dxa"/>
            <w:shd w:val="clear" w:color="auto" w:fill="F2F2F2" w:themeFill="background1" w:themeFillShade="F2"/>
          </w:tcPr>
          <w:p w14:paraId="71EF2CB8" w14:textId="043B5228" w:rsidR="00EB0A29" w:rsidRPr="00142364" w:rsidRDefault="00EB0A29">
            <w:pPr>
              <w:rPr>
                <w:sz w:val="16"/>
                <w:szCs w:val="16"/>
              </w:rPr>
            </w:pPr>
          </w:p>
        </w:tc>
        <w:tc>
          <w:tcPr>
            <w:tcW w:w="2264" w:type="dxa"/>
            <w:shd w:val="clear" w:color="auto" w:fill="F2F2F2" w:themeFill="background1" w:themeFillShade="F2"/>
          </w:tcPr>
          <w:p w14:paraId="7F93842E" w14:textId="2120D941" w:rsidR="00EB0A29" w:rsidRPr="00142364" w:rsidRDefault="00EB0A29">
            <w:pPr>
              <w:rPr>
                <w:sz w:val="16"/>
                <w:szCs w:val="16"/>
              </w:rPr>
            </w:pPr>
          </w:p>
        </w:tc>
      </w:tr>
      <w:tr w:rsidR="00EB0A29" w:rsidRPr="00142364" w14:paraId="4411F465" w14:textId="5942C3EF" w:rsidTr="00270A62">
        <w:tc>
          <w:tcPr>
            <w:tcW w:w="2448" w:type="dxa"/>
            <w:shd w:val="clear" w:color="auto" w:fill="F2F2F2" w:themeFill="background1" w:themeFillShade="F2"/>
          </w:tcPr>
          <w:p w14:paraId="19E72DC2" w14:textId="77777777" w:rsidR="00EB0A29" w:rsidRPr="00142364" w:rsidRDefault="00EB0A29">
            <w:pPr>
              <w:rPr>
                <w:sz w:val="16"/>
                <w:szCs w:val="16"/>
              </w:rPr>
            </w:pPr>
          </w:p>
        </w:tc>
        <w:tc>
          <w:tcPr>
            <w:tcW w:w="2374" w:type="dxa"/>
            <w:shd w:val="clear" w:color="auto" w:fill="F2F2F2" w:themeFill="background1" w:themeFillShade="F2"/>
          </w:tcPr>
          <w:p w14:paraId="54D32A7E" w14:textId="77777777" w:rsidR="00EB0A29" w:rsidRPr="00142364" w:rsidRDefault="00EB0A29">
            <w:pPr>
              <w:rPr>
                <w:sz w:val="16"/>
                <w:szCs w:val="16"/>
              </w:rPr>
            </w:pPr>
          </w:p>
        </w:tc>
        <w:tc>
          <w:tcPr>
            <w:tcW w:w="2264" w:type="dxa"/>
            <w:shd w:val="clear" w:color="auto" w:fill="F2F2F2" w:themeFill="background1" w:themeFillShade="F2"/>
          </w:tcPr>
          <w:p w14:paraId="71637EF7" w14:textId="77777777" w:rsidR="00EB0A29" w:rsidRPr="00142364" w:rsidRDefault="00EB0A29">
            <w:pPr>
              <w:rPr>
                <w:sz w:val="16"/>
                <w:szCs w:val="16"/>
              </w:rPr>
            </w:pPr>
          </w:p>
        </w:tc>
        <w:tc>
          <w:tcPr>
            <w:tcW w:w="2264" w:type="dxa"/>
            <w:shd w:val="clear" w:color="auto" w:fill="F2F2F2" w:themeFill="background1" w:themeFillShade="F2"/>
          </w:tcPr>
          <w:p w14:paraId="110AAD17" w14:textId="77777777" w:rsidR="00EB0A29" w:rsidRPr="00142364" w:rsidRDefault="00EB0A29">
            <w:pPr>
              <w:rPr>
                <w:sz w:val="16"/>
                <w:szCs w:val="16"/>
              </w:rPr>
            </w:pPr>
          </w:p>
        </w:tc>
      </w:tr>
      <w:tr w:rsidR="00EB0A29" w:rsidRPr="00142364" w14:paraId="07664EE1" w14:textId="619EF96F" w:rsidTr="00270A62">
        <w:tc>
          <w:tcPr>
            <w:tcW w:w="2448" w:type="dxa"/>
            <w:shd w:val="clear" w:color="auto" w:fill="F2F2F2" w:themeFill="background1" w:themeFillShade="F2"/>
          </w:tcPr>
          <w:p w14:paraId="7FD9B19C" w14:textId="77777777" w:rsidR="00EB0A29" w:rsidRPr="00142364" w:rsidRDefault="00EB0A29">
            <w:pPr>
              <w:rPr>
                <w:sz w:val="16"/>
                <w:szCs w:val="16"/>
              </w:rPr>
            </w:pPr>
          </w:p>
        </w:tc>
        <w:tc>
          <w:tcPr>
            <w:tcW w:w="2374" w:type="dxa"/>
            <w:shd w:val="clear" w:color="auto" w:fill="F2F2F2" w:themeFill="background1" w:themeFillShade="F2"/>
          </w:tcPr>
          <w:p w14:paraId="5D7FB597" w14:textId="77777777" w:rsidR="00EB0A29" w:rsidRPr="00142364" w:rsidRDefault="00EB0A29">
            <w:pPr>
              <w:rPr>
                <w:sz w:val="16"/>
                <w:szCs w:val="16"/>
              </w:rPr>
            </w:pPr>
          </w:p>
        </w:tc>
        <w:tc>
          <w:tcPr>
            <w:tcW w:w="2264" w:type="dxa"/>
            <w:shd w:val="clear" w:color="auto" w:fill="F2F2F2" w:themeFill="background1" w:themeFillShade="F2"/>
          </w:tcPr>
          <w:p w14:paraId="2AD40C5D" w14:textId="77777777" w:rsidR="00EB0A29" w:rsidRPr="00142364" w:rsidRDefault="00EB0A29">
            <w:pPr>
              <w:rPr>
                <w:sz w:val="16"/>
                <w:szCs w:val="16"/>
              </w:rPr>
            </w:pPr>
          </w:p>
        </w:tc>
        <w:tc>
          <w:tcPr>
            <w:tcW w:w="2264" w:type="dxa"/>
            <w:shd w:val="clear" w:color="auto" w:fill="F2F2F2" w:themeFill="background1" w:themeFillShade="F2"/>
          </w:tcPr>
          <w:p w14:paraId="23EB1AFD" w14:textId="77777777" w:rsidR="00EB0A29" w:rsidRPr="00142364" w:rsidRDefault="00EB0A29">
            <w:pPr>
              <w:rPr>
                <w:sz w:val="16"/>
                <w:szCs w:val="16"/>
              </w:rPr>
            </w:pPr>
          </w:p>
        </w:tc>
      </w:tr>
    </w:tbl>
    <w:p w14:paraId="58CAB5EF" w14:textId="77777777" w:rsidR="00EB0A29" w:rsidRDefault="00EB0A29"/>
    <w:sectPr w:rsidR="00EB0A29" w:rsidSect="00E33CDA">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549D" w14:textId="77777777" w:rsidR="00932167" w:rsidRDefault="00932167" w:rsidP="00011852">
      <w:pPr>
        <w:spacing w:after="0"/>
      </w:pPr>
      <w:r>
        <w:separator/>
      </w:r>
    </w:p>
  </w:endnote>
  <w:endnote w:type="continuationSeparator" w:id="0">
    <w:p w14:paraId="7D6FDDE6" w14:textId="77777777" w:rsidR="00932167" w:rsidRDefault="00932167" w:rsidP="00011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23B7" w14:textId="7FC40B52" w:rsidR="00EB0A29" w:rsidRDefault="00EB0A29">
    <w:pPr>
      <w:pStyle w:val="Footer"/>
    </w:pPr>
    <w:r w:rsidRPr="00EE3220">
      <w:rPr>
        <w:color w:val="4472C4" w:themeColor="accent1"/>
        <w:sz w:val="16"/>
        <w:szCs w:val="16"/>
      </w:rPr>
      <w:t xml:space="preserve">Occupational Therapy Compact Commission |201 Park Washington Court |Falls Church, VA 22046 | e: </w:t>
    </w:r>
    <w:r w:rsidRPr="00EE3220">
      <w:rPr>
        <w:noProof/>
        <w:color w:val="4472C4" w:themeColor="accent1"/>
        <w:sz w:val="16"/>
        <w:szCs w:val="16"/>
      </w:rPr>
      <mc:AlternateContent>
        <mc:Choice Requires="wps">
          <w:drawing>
            <wp:anchor distT="0" distB="0" distL="114300" distR="114300" simplePos="0" relativeHeight="251665408" behindDoc="0" locked="0" layoutInCell="1" allowOverlap="1" wp14:anchorId="082E2F48" wp14:editId="6ED87F2C">
              <wp:simplePos x="0" y="0"/>
              <wp:positionH relativeFrom="page">
                <wp:align>center</wp:align>
              </wp:positionH>
              <wp:positionV relativeFrom="page">
                <wp:align>center</wp:align>
              </wp:positionV>
              <wp:extent cx="7364730" cy="9528810"/>
              <wp:effectExtent l="0" t="0" r="26670" b="26670"/>
              <wp:wrapNone/>
              <wp:docPr id="1971925394"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3F91B7" id="Rectangle 77" o:spid="_x0000_s1026" style="position:absolute;margin-left:0;margin-top:0;width:579.9pt;height:750.3pt;z-index:2516654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EE3220" w:rsidRPr="00EE3220">
      <w:rPr>
        <w:color w:val="4472C4" w:themeColor="accent1"/>
        <w:sz w:val="16"/>
        <w:szCs w:val="16"/>
      </w:rPr>
      <w:t>executivedirector@otcompact.gov</w:t>
    </w:r>
    <w:r w:rsidRPr="0061011D">
      <w:rPr>
        <w:color w:val="4472C4" w:themeColor="accent1"/>
        <w:sz w:val="18"/>
        <w:szCs w:val="18"/>
      </w:rPr>
      <w:t xml:space="preserve"> </w:t>
    </w:r>
    <w:r>
      <w:rPr>
        <w:noProof/>
        <w:color w:val="4472C4" w:themeColor="accent1"/>
      </w:rPr>
      <mc:AlternateContent>
        <mc:Choice Requires="wps">
          <w:drawing>
            <wp:anchor distT="0" distB="0" distL="114300" distR="114300" simplePos="0" relativeHeight="251663360" behindDoc="0" locked="0" layoutInCell="1" allowOverlap="1" wp14:anchorId="537147EF" wp14:editId="3BE17E5B">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7D5595" id="Rectangle 77"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sz w:val="18"/>
        <w:szCs w:val="18"/>
      </w:rPr>
      <w:t>--</w:t>
    </w:r>
    <w:r>
      <w:rPr>
        <w:rFonts w:asciiTheme="majorHAnsi" w:eastAsiaTheme="majorEastAsia" w:hAnsiTheme="majorHAnsi" w:cstheme="majorBidi"/>
        <w:color w:val="4472C4" w:themeColor="accent1"/>
        <w:sz w:val="20"/>
        <w:szCs w:val="20"/>
      </w:rPr>
      <w:t xml:space="preserve"> </w:t>
    </w:r>
    <w:r w:rsidRPr="00EE3220">
      <w:rPr>
        <w:rFonts w:eastAsiaTheme="minorEastAsia"/>
        <w:color w:val="4472C4" w:themeColor="accent1"/>
        <w:sz w:val="18"/>
        <w:szCs w:val="18"/>
      </w:rPr>
      <w:fldChar w:fldCharType="begin"/>
    </w:r>
    <w:r w:rsidRPr="00EE3220">
      <w:rPr>
        <w:color w:val="4472C4" w:themeColor="accent1"/>
        <w:sz w:val="18"/>
        <w:szCs w:val="18"/>
      </w:rPr>
      <w:instrText xml:space="preserve"> PAGE    \* MERGEFORMAT </w:instrText>
    </w:r>
    <w:r w:rsidRPr="00EE3220">
      <w:rPr>
        <w:rFonts w:eastAsiaTheme="minorEastAsia"/>
        <w:color w:val="4472C4" w:themeColor="accent1"/>
        <w:sz w:val="18"/>
        <w:szCs w:val="18"/>
      </w:rPr>
      <w:fldChar w:fldCharType="separate"/>
    </w:r>
    <w:r w:rsidRPr="00EE3220">
      <w:rPr>
        <w:rFonts w:asciiTheme="majorHAnsi" w:eastAsiaTheme="majorEastAsia" w:hAnsiTheme="majorHAnsi" w:cstheme="majorBidi"/>
        <w:noProof/>
        <w:color w:val="4472C4" w:themeColor="accent1"/>
        <w:sz w:val="18"/>
        <w:szCs w:val="18"/>
      </w:rPr>
      <w:t>2</w:t>
    </w:r>
    <w:r w:rsidRPr="00EE3220">
      <w:rPr>
        <w:rFonts w:asciiTheme="majorHAnsi" w:eastAsiaTheme="majorEastAsia" w:hAnsiTheme="majorHAnsi" w:cstheme="majorBidi"/>
        <w:noProof/>
        <w:color w:val="4472C4"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06B9" w14:textId="77777777" w:rsidR="00932167" w:rsidRDefault="00932167" w:rsidP="00011852">
      <w:pPr>
        <w:spacing w:after="0"/>
      </w:pPr>
      <w:r>
        <w:separator/>
      </w:r>
    </w:p>
  </w:footnote>
  <w:footnote w:type="continuationSeparator" w:id="0">
    <w:p w14:paraId="3F3D0171" w14:textId="77777777" w:rsidR="00932167" w:rsidRDefault="00932167" w:rsidP="000118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2D9F" w14:textId="36ABD5F8" w:rsidR="00011852" w:rsidRDefault="00000000">
    <w:pPr>
      <w:pStyle w:val="Header"/>
    </w:pPr>
    <w:r>
      <w:rPr>
        <w:noProof/>
      </w:rPr>
      <w:pict w14:anchorId="793C5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594" o:spid="_x0000_s1026" type="#_x0000_t75" style="position:absolute;margin-left:0;margin-top:0;width:467.4pt;height:98.35pt;z-index:-251657216;mso-position-horizontal:center;mso-position-horizontal-relative:margin;mso-position-vertical:center;mso-position-vertical-relative:margin" o:allowincell="f">
          <v:imagedata r:id="rId1" o:title="OT Compac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DFF" w14:textId="04115406" w:rsidR="00011852" w:rsidRPr="00EB0A29" w:rsidRDefault="00E33CDA" w:rsidP="00E33CDA">
    <w:pPr>
      <w:rPr>
        <w:b/>
        <w:bCs/>
      </w:rPr>
    </w:pPr>
    <w:r w:rsidRPr="00EB0A29">
      <w:rPr>
        <w:noProof/>
      </w:rPr>
      <w:drawing>
        <wp:anchor distT="0" distB="0" distL="114300" distR="114300" simplePos="0" relativeHeight="251661312" behindDoc="0" locked="0" layoutInCell="1" allowOverlap="1" wp14:anchorId="3F7319E9" wp14:editId="16BBC776">
          <wp:simplePos x="0" y="0"/>
          <wp:positionH relativeFrom="margin">
            <wp:align>right</wp:align>
          </wp:positionH>
          <wp:positionV relativeFrom="page">
            <wp:posOffset>389034</wp:posOffset>
          </wp:positionV>
          <wp:extent cx="1920240" cy="403860"/>
          <wp:effectExtent l="0" t="0" r="3810" b="0"/>
          <wp:wrapSquare wrapText="bothSides"/>
          <wp:docPr id="1120979422"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79422"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403860"/>
                  </a:xfrm>
                  <a:prstGeom prst="rect">
                    <a:avLst/>
                  </a:prstGeom>
                </pic:spPr>
              </pic:pic>
            </a:graphicData>
          </a:graphic>
        </wp:anchor>
      </w:drawing>
    </w:r>
    <w:r w:rsidRPr="00EB0A29">
      <w:rPr>
        <w:b/>
        <w:bCs/>
      </w:rPr>
      <w:t>OCCUPATIONAL THERAPY COMPACT COMMISSION (OTCC)</w:t>
    </w:r>
    <w:r w:rsidRPr="00EB0A29">
      <w:rPr>
        <w:b/>
        <w:bCs/>
      </w:rPr>
      <w:br/>
    </w:r>
    <w:r w:rsidR="00000000">
      <w:rPr>
        <w:noProof/>
      </w:rPr>
      <w:pict w14:anchorId="12A4C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595" o:spid="_x0000_s1027" type="#_x0000_t75" style="position:absolute;margin-left:0;margin-top:0;width:467.4pt;height:98.35pt;z-index:-251656192;mso-position-horizontal:center;mso-position-horizontal-relative:margin;mso-position-vertical:center;mso-position-vertical-relative:margin" o:allowincell="f">
          <v:imagedata r:id="rId2" o:title="OT Compact Logo" gain="19661f" blacklevel="22938f"/>
          <w10:wrap anchorx="margin" anchory="margin"/>
        </v:shape>
      </w:pict>
    </w:r>
    <w:r w:rsidR="0021292F">
      <w:rPr>
        <w:b/>
        <w:bCs/>
      </w:rPr>
      <w:t>MONTHLY PAYMENTS to OTC MEMBER STATES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93E" w14:textId="2605C89E" w:rsidR="00011852" w:rsidRDefault="00000000">
    <w:pPr>
      <w:pStyle w:val="Header"/>
    </w:pPr>
    <w:r>
      <w:rPr>
        <w:noProof/>
      </w:rPr>
      <w:pict w14:anchorId="46EE1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593" o:spid="_x0000_s1025" type="#_x0000_t75" style="position:absolute;margin-left:0;margin-top:0;width:467.4pt;height:98.35pt;z-index:-251658240;mso-position-horizontal:center;mso-position-horizontal-relative:margin;mso-position-vertical:center;mso-position-vertical-relative:margin" o:allowincell="f">
          <v:imagedata r:id="rId1" o:title="OT Compac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1E3"/>
    <w:multiLevelType w:val="hybridMultilevel"/>
    <w:tmpl w:val="23467D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D150A1"/>
    <w:multiLevelType w:val="hybridMultilevel"/>
    <w:tmpl w:val="920673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A0790A"/>
    <w:multiLevelType w:val="hybridMultilevel"/>
    <w:tmpl w:val="B62C6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4331A0"/>
    <w:multiLevelType w:val="hybridMultilevel"/>
    <w:tmpl w:val="161A3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EA38F0"/>
    <w:multiLevelType w:val="hybridMultilevel"/>
    <w:tmpl w:val="FE6A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42264"/>
    <w:multiLevelType w:val="hybridMultilevel"/>
    <w:tmpl w:val="8DE4D9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454DA"/>
    <w:multiLevelType w:val="hybridMultilevel"/>
    <w:tmpl w:val="01F20A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95C00"/>
    <w:multiLevelType w:val="hybridMultilevel"/>
    <w:tmpl w:val="9FF4E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C2F0A"/>
    <w:multiLevelType w:val="hybridMultilevel"/>
    <w:tmpl w:val="C0D2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634090">
    <w:abstractNumId w:val="2"/>
  </w:num>
  <w:num w:numId="2" w16cid:durableId="1961914811">
    <w:abstractNumId w:val="6"/>
  </w:num>
  <w:num w:numId="3" w16cid:durableId="1909995225">
    <w:abstractNumId w:val="7"/>
  </w:num>
  <w:num w:numId="4" w16cid:durableId="1169522137">
    <w:abstractNumId w:val="1"/>
  </w:num>
  <w:num w:numId="5" w16cid:durableId="951088459">
    <w:abstractNumId w:val="0"/>
  </w:num>
  <w:num w:numId="6" w16cid:durableId="1140999690">
    <w:abstractNumId w:val="4"/>
  </w:num>
  <w:num w:numId="7" w16cid:durableId="816150669">
    <w:abstractNumId w:val="3"/>
  </w:num>
  <w:num w:numId="8" w16cid:durableId="1381441893">
    <w:abstractNumId w:val="5"/>
  </w:num>
  <w:num w:numId="9" w16cid:durableId="339085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52"/>
    <w:rsid w:val="00011852"/>
    <w:rsid w:val="00016791"/>
    <w:rsid w:val="00063220"/>
    <w:rsid w:val="00142364"/>
    <w:rsid w:val="001525BA"/>
    <w:rsid w:val="001816F6"/>
    <w:rsid w:val="0018692A"/>
    <w:rsid w:val="0021292F"/>
    <w:rsid w:val="0025505E"/>
    <w:rsid w:val="00270A62"/>
    <w:rsid w:val="00295AE9"/>
    <w:rsid w:val="00322BB7"/>
    <w:rsid w:val="003D0E4E"/>
    <w:rsid w:val="004042D0"/>
    <w:rsid w:val="0048678A"/>
    <w:rsid w:val="004E5F1F"/>
    <w:rsid w:val="00736B8C"/>
    <w:rsid w:val="007709E3"/>
    <w:rsid w:val="008013C4"/>
    <w:rsid w:val="0090725D"/>
    <w:rsid w:val="00932167"/>
    <w:rsid w:val="00975C93"/>
    <w:rsid w:val="009A3052"/>
    <w:rsid w:val="009A743A"/>
    <w:rsid w:val="009D0D15"/>
    <w:rsid w:val="00BF6662"/>
    <w:rsid w:val="00CB26BD"/>
    <w:rsid w:val="00CC0505"/>
    <w:rsid w:val="00CD2A45"/>
    <w:rsid w:val="00CE78A3"/>
    <w:rsid w:val="00DA00A4"/>
    <w:rsid w:val="00DA4827"/>
    <w:rsid w:val="00E06E9B"/>
    <w:rsid w:val="00E33CDA"/>
    <w:rsid w:val="00E47DD2"/>
    <w:rsid w:val="00EB0A29"/>
    <w:rsid w:val="00EE3220"/>
    <w:rsid w:val="00F2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22AB"/>
  <w15:chartTrackingRefBased/>
  <w15:docId w15:val="{2B90DA7A-3485-4174-954D-A906DD82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852"/>
    <w:pPr>
      <w:tabs>
        <w:tab w:val="center" w:pos="4680"/>
        <w:tab w:val="right" w:pos="9360"/>
      </w:tabs>
      <w:spacing w:after="0"/>
    </w:pPr>
  </w:style>
  <w:style w:type="character" w:customStyle="1" w:styleId="HeaderChar">
    <w:name w:val="Header Char"/>
    <w:basedOn w:val="DefaultParagraphFont"/>
    <w:link w:val="Header"/>
    <w:uiPriority w:val="99"/>
    <w:rsid w:val="00011852"/>
  </w:style>
  <w:style w:type="paragraph" w:styleId="Footer">
    <w:name w:val="footer"/>
    <w:basedOn w:val="Normal"/>
    <w:link w:val="FooterChar"/>
    <w:uiPriority w:val="99"/>
    <w:unhideWhenUsed/>
    <w:rsid w:val="00011852"/>
    <w:pPr>
      <w:tabs>
        <w:tab w:val="center" w:pos="4680"/>
        <w:tab w:val="right" w:pos="9360"/>
      </w:tabs>
      <w:spacing w:after="0"/>
    </w:pPr>
  </w:style>
  <w:style w:type="character" w:customStyle="1" w:styleId="FooterChar">
    <w:name w:val="Footer Char"/>
    <w:basedOn w:val="DefaultParagraphFont"/>
    <w:link w:val="Footer"/>
    <w:uiPriority w:val="99"/>
    <w:rsid w:val="00011852"/>
  </w:style>
  <w:style w:type="table" w:styleId="TableGrid">
    <w:name w:val="Table Grid"/>
    <w:basedOn w:val="TableNormal"/>
    <w:uiPriority w:val="39"/>
    <w:rsid w:val="00E33C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F1F"/>
    <w:pPr>
      <w:spacing w:after="160" w:line="278" w:lineRule="auto"/>
      <w:ind w:left="720"/>
      <w:contextualSpacing/>
    </w:pPr>
    <w:rPr>
      <w:sz w:val="24"/>
      <w:szCs w:val="24"/>
    </w:rPr>
  </w:style>
  <w:style w:type="character" w:styleId="CommentReference">
    <w:name w:val="annotation reference"/>
    <w:basedOn w:val="DefaultParagraphFont"/>
    <w:uiPriority w:val="99"/>
    <w:semiHidden/>
    <w:unhideWhenUsed/>
    <w:rsid w:val="00DA4827"/>
    <w:rPr>
      <w:sz w:val="16"/>
      <w:szCs w:val="16"/>
    </w:rPr>
  </w:style>
  <w:style w:type="paragraph" w:styleId="CommentText">
    <w:name w:val="annotation text"/>
    <w:basedOn w:val="Normal"/>
    <w:link w:val="CommentTextChar"/>
    <w:uiPriority w:val="99"/>
    <w:unhideWhenUsed/>
    <w:rsid w:val="00DA4827"/>
    <w:rPr>
      <w:sz w:val="20"/>
      <w:szCs w:val="20"/>
    </w:rPr>
  </w:style>
  <w:style w:type="character" w:customStyle="1" w:styleId="CommentTextChar">
    <w:name w:val="Comment Text Char"/>
    <w:basedOn w:val="DefaultParagraphFont"/>
    <w:link w:val="CommentText"/>
    <w:uiPriority w:val="99"/>
    <w:rsid w:val="00DA4827"/>
    <w:rPr>
      <w:sz w:val="20"/>
      <w:szCs w:val="20"/>
    </w:rPr>
  </w:style>
  <w:style w:type="paragraph" w:styleId="CommentSubject">
    <w:name w:val="annotation subject"/>
    <w:basedOn w:val="CommentText"/>
    <w:next w:val="CommentText"/>
    <w:link w:val="CommentSubjectChar"/>
    <w:uiPriority w:val="99"/>
    <w:semiHidden/>
    <w:unhideWhenUsed/>
    <w:rsid w:val="00DA4827"/>
    <w:rPr>
      <w:b/>
      <w:bCs/>
    </w:rPr>
  </w:style>
  <w:style w:type="character" w:customStyle="1" w:styleId="CommentSubjectChar">
    <w:name w:val="Comment Subject Char"/>
    <w:basedOn w:val="CommentTextChar"/>
    <w:link w:val="CommentSubject"/>
    <w:uiPriority w:val="99"/>
    <w:semiHidden/>
    <w:rsid w:val="00DA4827"/>
    <w:rPr>
      <w:b/>
      <w:bCs/>
      <w:sz w:val="20"/>
      <w:szCs w:val="20"/>
    </w:rPr>
  </w:style>
  <w:style w:type="paragraph" w:styleId="Revision">
    <w:name w:val="Revision"/>
    <w:hidden/>
    <w:uiPriority w:val="99"/>
    <w:semiHidden/>
    <w:rsid w:val="009D0D1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9FE6-D246-4715-B166-89840966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663</Words>
  <Characters>3923</Characters>
  <Application>Microsoft Office Word</Application>
  <DocSecurity>0</DocSecurity>
  <Lines>135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Perry</dc:creator>
  <cp:keywords/>
  <dc:description/>
  <cp:lastModifiedBy>Amanda Perry</cp:lastModifiedBy>
  <cp:revision>3</cp:revision>
  <dcterms:created xsi:type="dcterms:W3CDTF">2026-01-08T21:12:00Z</dcterms:created>
  <dcterms:modified xsi:type="dcterms:W3CDTF">2026-01-08T21:33:00Z</dcterms:modified>
</cp:coreProperties>
</file>